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8958D" w14:textId="4C50A45E" w:rsidR="00A65190" w:rsidRDefault="00677A21">
      <w:r>
        <w:rPr>
          <w:noProof/>
        </w:rPr>
        <w:drawing>
          <wp:inline distT="0" distB="0" distL="0" distR="0" wp14:anchorId="4CBE99CB" wp14:editId="2DEDABA1">
            <wp:extent cx="5274310" cy="6370955"/>
            <wp:effectExtent l="0" t="0" r="2540" b="0"/>
            <wp:docPr id="1845241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41100" name="图片 18452411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577A" w14:textId="07F635F3" w:rsidR="004B7724" w:rsidRPr="004B7724" w:rsidRDefault="00F8260E" w:rsidP="004B7724">
      <w:pPr>
        <w:spacing w:after="0" w:line="240" w:lineRule="auto"/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A65190" w:rsidRPr="00415122">
        <w:rPr>
          <w:rFonts w:ascii="Times New Roman" w:hAnsi="Times New Roman" w:cs="Times New Roman"/>
          <w:b/>
          <w:bCs/>
        </w:rPr>
        <w:t>Figure S1.</w:t>
      </w:r>
      <w:r w:rsidR="003D09BD" w:rsidRPr="00F8260E">
        <w:rPr>
          <w:rFonts w:ascii="Times New Roman" w:hAnsi="Times New Roman" w:cs="Times New Roman"/>
          <w:b/>
          <w:bCs/>
        </w:rPr>
        <w:t xml:space="preserve"> </w:t>
      </w:r>
      <w:r w:rsidR="004B7724" w:rsidRPr="004B7724">
        <w:rPr>
          <w:rFonts w:ascii="Times New Roman" w:hAnsi="Times New Roman" w:cs="Times New Roman"/>
        </w:rPr>
        <w:t>Gating strategy and batch</w:t>
      </w:r>
      <w:r w:rsidR="00D24C44">
        <w:rPr>
          <w:rFonts w:ascii="Times New Roman" w:hAnsi="Times New Roman" w:cs="Times New Roman"/>
        </w:rPr>
        <w:t>-</w:t>
      </w:r>
      <w:r w:rsidR="004B7724" w:rsidRPr="004B7724">
        <w:rPr>
          <w:rFonts w:ascii="Times New Roman" w:hAnsi="Times New Roman" w:cs="Times New Roman"/>
        </w:rPr>
        <w:t>matched, isotype</w:t>
      </w:r>
      <w:r w:rsidR="00D24C44">
        <w:rPr>
          <w:rFonts w:ascii="Times New Roman" w:hAnsi="Times New Roman" w:cs="Times New Roman"/>
        </w:rPr>
        <w:t>-</w:t>
      </w:r>
      <w:r w:rsidR="004B7724" w:rsidRPr="004B7724">
        <w:rPr>
          <w:rFonts w:ascii="Times New Roman" w:hAnsi="Times New Roman" w:cs="Times New Roman"/>
        </w:rPr>
        <w:t>anchored thresholding for intracellular cleaved caspase</w:t>
      </w:r>
      <w:r w:rsidR="004B7724" w:rsidRPr="004B7724">
        <w:rPr>
          <w:rFonts w:ascii="Times New Roman" w:hAnsi="Times New Roman" w:cs="Times New Roman"/>
        </w:rPr>
        <w:noBreakHyphen/>
        <w:t>3 and Ki</w:t>
      </w:r>
      <w:r w:rsidR="004B7724" w:rsidRPr="004B7724">
        <w:rPr>
          <w:rFonts w:ascii="Times New Roman" w:hAnsi="Times New Roman" w:cs="Times New Roman"/>
        </w:rPr>
        <w:noBreakHyphen/>
        <w:t>67.</w:t>
      </w:r>
    </w:p>
    <w:p w14:paraId="05C9A616" w14:textId="7507BE4C" w:rsidR="004B7724" w:rsidRPr="004B7724" w:rsidRDefault="004B7724" w:rsidP="004B7724">
      <w:pPr>
        <w:spacing w:after="0" w:line="240" w:lineRule="auto"/>
        <w:rPr>
          <w:rFonts w:ascii="Times New Roman" w:hAnsi="Times New Roman" w:cs="Times New Roman"/>
        </w:rPr>
      </w:pPr>
      <w:r w:rsidRPr="004B7724">
        <w:rPr>
          <w:rFonts w:ascii="Times New Roman" w:hAnsi="Times New Roman" w:cs="Times New Roman"/>
        </w:rPr>
        <w:t>Debris was excluded using an FSC</w:t>
      </w:r>
      <w:r w:rsidR="00D24C44">
        <w:rPr>
          <w:rFonts w:ascii="Times New Roman" w:hAnsi="Times New Roman" w:cs="Times New Roman"/>
        </w:rPr>
        <w:t>-</w:t>
      </w:r>
      <w:r w:rsidRPr="004B7724">
        <w:rPr>
          <w:rFonts w:ascii="Times New Roman" w:hAnsi="Times New Roman" w:cs="Times New Roman"/>
        </w:rPr>
        <w:t>A v</w:t>
      </w:r>
      <w:r w:rsidR="00D24C44">
        <w:rPr>
          <w:rFonts w:ascii="Times New Roman" w:hAnsi="Times New Roman" w:cs="Times New Roman"/>
        </w:rPr>
        <w:t>s.</w:t>
      </w:r>
      <w:r w:rsidRPr="004B7724">
        <w:rPr>
          <w:rFonts w:ascii="Times New Roman" w:hAnsi="Times New Roman" w:cs="Times New Roman"/>
        </w:rPr>
        <w:t xml:space="preserve"> SSC</w:t>
      </w:r>
      <w:r w:rsidR="00D24C44">
        <w:rPr>
          <w:rFonts w:ascii="Times New Roman" w:hAnsi="Times New Roman" w:cs="Times New Roman"/>
        </w:rPr>
        <w:t>-</w:t>
      </w:r>
      <w:r w:rsidRPr="004B7724">
        <w:rPr>
          <w:rFonts w:ascii="Times New Roman" w:hAnsi="Times New Roman" w:cs="Times New Roman"/>
        </w:rPr>
        <w:t>A gate, followed by singlet selection on FSC</w:t>
      </w:r>
      <w:r w:rsidR="00D24C44">
        <w:rPr>
          <w:rFonts w:ascii="Times New Roman" w:hAnsi="Times New Roman" w:cs="Times New Roman"/>
        </w:rPr>
        <w:t>-</w:t>
      </w:r>
      <w:r w:rsidRPr="004B7724">
        <w:rPr>
          <w:rFonts w:ascii="Times New Roman" w:hAnsi="Times New Roman" w:cs="Times New Roman"/>
        </w:rPr>
        <w:t>A versus FSC</w:t>
      </w:r>
      <w:r w:rsidRPr="004B7724">
        <w:rPr>
          <w:rFonts w:ascii="Times New Roman" w:hAnsi="Times New Roman" w:cs="Times New Roman"/>
        </w:rPr>
        <w:noBreakHyphen/>
        <w:t>W. Within the singlet population, FITC</w:t>
      </w:r>
      <w:r w:rsidRPr="004B7724">
        <w:rPr>
          <w:rFonts w:ascii="Times New Roman" w:hAnsi="Times New Roman" w:cs="Times New Roman"/>
        </w:rPr>
        <w:noBreakHyphen/>
        <w:t>A histograms of the matched rabbit IgG isotype and the antibody</w:t>
      </w:r>
      <w:r w:rsidRPr="004B7724">
        <w:rPr>
          <w:rFonts w:ascii="Times New Roman" w:hAnsi="Times New Roman" w:cs="Times New Roman"/>
        </w:rPr>
        <w:noBreakHyphen/>
        <w:t>stained sample (acquired with identical PMT/compensation settings) are shown side</w:t>
      </w:r>
      <w:r w:rsidRPr="004B7724">
        <w:rPr>
          <w:rFonts w:ascii="Times New Roman" w:hAnsi="Times New Roman" w:cs="Times New Roman"/>
        </w:rPr>
        <w:noBreakHyphen/>
        <w:t>by</w:t>
      </w:r>
      <w:r w:rsidRPr="004B7724">
        <w:rPr>
          <w:rFonts w:ascii="Times New Roman" w:hAnsi="Times New Roman" w:cs="Times New Roman"/>
        </w:rPr>
        <w:noBreakHyphen/>
        <w:t>side. The positivity threshold is positioned at the 99</w:t>
      </w:r>
      <w:r w:rsidRPr="00F8260E">
        <w:rPr>
          <w:rFonts w:ascii="Times New Roman" w:hAnsi="Times New Roman" w:cs="Times New Roman"/>
          <w:vertAlign w:val="superscript"/>
        </w:rPr>
        <w:t>th</w:t>
      </w:r>
      <w:r w:rsidRPr="004B7724">
        <w:rPr>
          <w:rFonts w:ascii="Times New Roman" w:hAnsi="Times New Roman" w:cs="Times New Roman"/>
        </w:rPr>
        <w:t xml:space="preserve"> percentile of the isotype control (≤</w:t>
      </w:r>
      <w:r w:rsidR="00F8260E">
        <w:rPr>
          <w:rFonts w:ascii="Times New Roman" w:hAnsi="Times New Roman" w:cs="Times New Roman"/>
        </w:rPr>
        <w:t xml:space="preserve"> </w:t>
      </w:r>
      <w:r w:rsidRPr="004B7724">
        <w:rPr>
          <w:rFonts w:ascii="Times New Roman" w:hAnsi="Times New Roman" w:cs="Times New Roman"/>
        </w:rPr>
        <w:t>1% isotype</w:t>
      </w:r>
      <w:r w:rsidRPr="004B7724">
        <w:rPr>
          <w:rFonts w:ascii="Times New Roman" w:hAnsi="Times New Roman" w:cs="Times New Roman"/>
        </w:rPr>
        <w:noBreakHyphen/>
        <w:t>positive events) and then applied unchanged to the corresponding stained sample within the same batch. Percentages in the scatter plots denote the fraction of events retained at each gate; histogram</w:t>
      </w:r>
      <w:r w:rsidRPr="004B7724">
        <w:rPr>
          <w:rFonts w:ascii="Times New Roman" w:hAnsi="Times New Roman" w:cs="Times New Roman"/>
        </w:rPr>
        <w:noBreakHyphen/>
        <w:t>based positive rates are calculated within singlets. Axes: x, fluorescence intensity (FITC</w:t>
      </w:r>
      <w:r w:rsidRPr="004B7724">
        <w:rPr>
          <w:rFonts w:ascii="Times New Roman" w:hAnsi="Times New Roman" w:cs="Times New Roman"/>
        </w:rPr>
        <w:noBreakHyphen/>
        <w:t>A, logarithmic); y, counts. All histograms use identical axis scaling.</w:t>
      </w:r>
    </w:p>
    <w:p w14:paraId="468489C4" w14:textId="551EFCAE" w:rsidR="00A65190" w:rsidRPr="00A65190" w:rsidRDefault="004B7724" w:rsidP="00F8260E">
      <w:pPr>
        <w:spacing w:after="0" w:line="240" w:lineRule="auto"/>
      </w:pPr>
      <w:r w:rsidRPr="004B7724">
        <w:rPr>
          <w:rFonts w:ascii="Times New Roman" w:hAnsi="Times New Roman" w:cs="Times New Roman"/>
        </w:rPr>
        <w:t>Isotype panels used for gate determination correspond to Fig</w:t>
      </w:r>
      <w:r w:rsidR="00F8260E">
        <w:rPr>
          <w:rFonts w:ascii="Times New Roman" w:hAnsi="Times New Roman" w:cs="Times New Roman"/>
        </w:rPr>
        <w:t>ure</w:t>
      </w:r>
      <w:r w:rsidRPr="004B7724">
        <w:rPr>
          <w:rFonts w:ascii="Times New Roman" w:hAnsi="Times New Roman" w:cs="Times New Roman"/>
        </w:rPr>
        <w:t xml:space="preserve"> 7 as follows: S1A → Fig</w:t>
      </w:r>
      <w:r w:rsidR="00F8260E">
        <w:rPr>
          <w:rFonts w:ascii="Times New Roman" w:hAnsi="Times New Roman" w:cs="Times New Roman"/>
        </w:rPr>
        <w:t>ure</w:t>
      </w:r>
      <w:r w:rsidRPr="004B7724">
        <w:rPr>
          <w:rFonts w:ascii="Times New Roman" w:hAnsi="Times New Roman" w:cs="Times New Roman"/>
        </w:rPr>
        <w:t xml:space="preserve"> 7C (cleaved caspase</w:t>
      </w:r>
      <w:r w:rsidR="00F8260E">
        <w:rPr>
          <w:rFonts w:ascii="Times New Roman" w:hAnsi="Times New Roman" w:cs="Times New Roman"/>
        </w:rPr>
        <w:t>-</w:t>
      </w:r>
      <w:r w:rsidRPr="004B7724">
        <w:rPr>
          <w:rFonts w:ascii="Times New Roman" w:hAnsi="Times New Roman" w:cs="Times New Roman"/>
        </w:rPr>
        <w:t xml:space="preserve">3), </w:t>
      </w:r>
      <w:r w:rsidR="00857225" w:rsidRPr="004B7724">
        <w:rPr>
          <w:rFonts w:ascii="Times New Roman" w:hAnsi="Times New Roman" w:cs="Times New Roman"/>
        </w:rPr>
        <w:t>S1</w:t>
      </w:r>
      <w:r w:rsidR="00857225">
        <w:rPr>
          <w:rFonts w:ascii="Times New Roman" w:hAnsi="Times New Roman" w:cs="Times New Roman" w:hint="eastAsia"/>
        </w:rPr>
        <w:t>B</w:t>
      </w:r>
      <w:r w:rsidR="00857225" w:rsidRPr="004B7724">
        <w:rPr>
          <w:rFonts w:ascii="Times New Roman" w:hAnsi="Times New Roman" w:cs="Times New Roman"/>
        </w:rPr>
        <w:t xml:space="preserve"> → Fig</w:t>
      </w:r>
      <w:r w:rsidR="00F8260E">
        <w:rPr>
          <w:rFonts w:ascii="Times New Roman" w:hAnsi="Times New Roman" w:cs="Times New Roman"/>
        </w:rPr>
        <w:t>ure</w:t>
      </w:r>
      <w:r w:rsidR="00857225" w:rsidRPr="004B7724">
        <w:rPr>
          <w:rFonts w:ascii="Times New Roman" w:hAnsi="Times New Roman" w:cs="Times New Roman"/>
        </w:rPr>
        <w:t xml:space="preserve"> 7</w:t>
      </w:r>
      <w:r w:rsidR="00857225">
        <w:rPr>
          <w:rFonts w:ascii="Times New Roman" w:hAnsi="Times New Roman" w:cs="Times New Roman" w:hint="eastAsia"/>
        </w:rPr>
        <w:t>H</w:t>
      </w:r>
      <w:r w:rsidR="00857225" w:rsidRPr="004B7724">
        <w:rPr>
          <w:rFonts w:ascii="Times New Roman" w:hAnsi="Times New Roman" w:cs="Times New Roman"/>
        </w:rPr>
        <w:t xml:space="preserve"> (cleaved caspase</w:t>
      </w:r>
      <w:r w:rsidR="00857225" w:rsidRPr="004B7724">
        <w:rPr>
          <w:rFonts w:ascii="Times New Roman" w:hAnsi="Times New Roman" w:cs="Times New Roman"/>
        </w:rPr>
        <w:noBreakHyphen/>
        <w:t>3),</w:t>
      </w:r>
      <w:r w:rsidR="00857225">
        <w:rPr>
          <w:rFonts w:ascii="Times New Roman" w:hAnsi="Times New Roman" w:cs="Times New Roman" w:hint="eastAsia"/>
        </w:rPr>
        <w:t xml:space="preserve"> </w:t>
      </w:r>
      <w:r w:rsidR="00F8260E" w:rsidRPr="004B7724">
        <w:rPr>
          <w:rFonts w:ascii="Times New Roman" w:hAnsi="Times New Roman" w:cs="Times New Roman"/>
        </w:rPr>
        <w:t>S1C → Fig.</w:t>
      </w:r>
      <w:r w:rsidR="00F8260E">
        <w:rPr>
          <w:rFonts w:ascii="Times New Roman" w:hAnsi="Times New Roman" w:cs="Times New Roman"/>
        </w:rPr>
        <w:t xml:space="preserve">ure </w:t>
      </w:r>
      <w:r w:rsidR="00F8260E" w:rsidRPr="004B7724">
        <w:rPr>
          <w:rFonts w:ascii="Times New Roman" w:hAnsi="Times New Roman" w:cs="Times New Roman"/>
        </w:rPr>
        <w:t xml:space="preserve">7E </w:t>
      </w:r>
      <w:r w:rsidRPr="004B7724">
        <w:rPr>
          <w:rFonts w:ascii="Times New Roman" w:hAnsi="Times New Roman" w:cs="Times New Roman"/>
        </w:rPr>
        <w:t>(Ki</w:t>
      </w:r>
      <w:r w:rsidRPr="004B7724">
        <w:rPr>
          <w:rFonts w:ascii="Times New Roman" w:hAnsi="Times New Roman" w:cs="Times New Roman"/>
        </w:rPr>
        <w:noBreakHyphen/>
        <w:t>67), and S1</w:t>
      </w:r>
      <w:r w:rsidR="00857225">
        <w:rPr>
          <w:rFonts w:ascii="Times New Roman" w:hAnsi="Times New Roman" w:cs="Times New Roman" w:hint="eastAsia"/>
        </w:rPr>
        <w:t>D</w:t>
      </w:r>
      <w:r w:rsidRPr="004B7724">
        <w:rPr>
          <w:rFonts w:ascii="Times New Roman" w:hAnsi="Times New Roman" w:cs="Times New Roman"/>
        </w:rPr>
        <w:t xml:space="preserve"> → Fig</w:t>
      </w:r>
      <w:r w:rsidR="00F8260E">
        <w:rPr>
          <w:rFonts w:ascii="Times New Roman" w:hAnsi="Times New Roman" w:cs="Times New Roman"/>
        </w:rPr>
        <w:t>ure</w:t>
      </w:r>
      <w:r w:rsidRPr="004B7724">
        <w:rPr>
          <w:rFonts w:ascii="Times New Roman" w:hAnsi="Times New Roman" w:cs="Times New Roman"/>
        </w:rPr>
        <w:t xml:space="preserve"> 7</w:t>
      </w:r>
      <w:r w:rsidR="00857225">
        <w:rPr>
          <w:rFonts w:ascii="Times New Roman" w:hAnsi="Times New Roman" w:cs="Times New Roman" w:hint="eastAsia"/>
        </w:rPr>
        <w:t>G</w:t>
      </w:r>
      <w:r w:rsidRPr="004B7724">
        <w:rPr>
          <w:rFonts w:ascii="Times New Roman" w:hAnsi="Times New Roman" w:cs="Times New Roman"/>
        </w:rPr>
        <w:t xml:space="preserve"> (Ki</w:t>
      </w:r>
      <w:r w:rsidRPr="004B7724">
        <w:rPr>
          <w:rFonts w:ascii="Times New Roman" w:hAnsi="Times New Roman" w:cs="Times New Roman"/>
        </w:rPr>
        <w:noBreakHyphen/>
        <w:t>67).</w:t>
      </w:r>
    </w:p>
    <w:sectPr w:rsidR="00A65190" w:rsidRPr="00A65190" w:rsidSect="00F8260E">
      <w:pgSz w:w="11906" w:h="16838"/>
      <w:pgMar w:top="1134" w:right="1134" w:bottom="1134" w:left="1134" w:header="1020" w:footer="10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51DAE" w14:textId="77777777" w:rsidR="002C2B90" w:rsidRDefault="002C2B90" w:rsidP="00A65190">
      <w:pPr>
        <w:spacing w:after="0" w:line="240" w:lineRule="auto"/>
      </w:pPr>
      <w:r>
        <w:separator/>
      </w:r>
    </w:p>
  </w:endnote>
  <w:endnote w:type="continuationSeparator" w:id="0">
    <w:p w14:paraId="5B235195" w14:textId="77777777" w:rsidR="002C2B90" w:rsidRDefault="002C2B90" w:rsidP="00A65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5937E" w14:textId="77777777" w:rsidR="002C2B90" w:rsidRDefault="002C2B90" w:rsidP="00A65190">
      <w:pPr>
        <w:spacing w:after="0" w:line="240" w:lineRule="auto"/>
      </w:pPr>
      <w:r>
        <w:separator/>
      </w:r>
    </w:p>
  </w:footnote>
  <w:footnote w:type="continuationSeparator" w:id="0">
    <w:p w14:paraId="2B12D600" w14:textId="77777777" w:rsidR="002C2B90" w:rsidRDefault="002C2B90" w:rsidP="00A651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bordersDoNotSurroundHeader/>
  <w:bordersDoNotSurroundFooter/>
  <w:defaultTabStop w:val="420"/>
  <w:hyphenationZone w:val="425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7189A530-BE85-46FC-8490-7646F125E81D}"/>
    <w:docVar w:name="KY_MEDREF_VERSION" w:val="3"/>
  </w:docVars>
  <w:rsids>
    <w:rsidRoot w:val="00A65190"/>
    <w:rsid w:val="0010563B"/>
    <w:rsid w:val="0011037F"/>
    <w:rsid w:val="00195836"/>
    <w:rsid w:val="001B2BBB"/>
    <w:rsid w:val="001C7A76"/>
    <w:rsid w:val="001F5E19"/>
    <w:rsid w:val="00283CB4"/>
    <w:rsid w:val="002C2B90"/>
    <w:rsid w:val="003A039D"/>
    <w:rsid w:val="003B500B"/>
    <w:rsid w:val="003D09BD"/>
    <w:rsid w:val="00415122"/>
    <w:rsid w:val="004A5AC4"/>
    <w:rsid w:val="004B7724"/>
    <w:rsid w:val="00555E46"/>
    <w:rsid w:val="00562D25"/>
    <w:rsid w:val="005F092E"/>
    <w:rsid w:val="00677A21"/>
    <w:rsid w:val="006C6893"/>
    <w:rsid w:val="00746E9B"/>
    <w:rsid w:val="007B2838"/>
    <w:rsid w:val="00857225"/>
    <w:rsid w:val="00873BE0"/>
    <w:rsid w:val="00A005ED"/>
    <w:rsid w:val="00A65190"/>
    <w:rsid w:val="00AA3FD6"/>
    <w:rsid w:val="00CE3B82"/>
    <w:rsid w:val="00D24C44"/>
    <w:rsid w:val="00D8720E"/>
    <w:rsid w:val="00DB138D"/>
    <w:rsid w:val="00E230E6"/>
    <w:rsid w:val="00F20703"/>
    <w:rsid w:val="00F8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866D7C"/>
  <w14:defaultImageDpi w14:val="32767"/>
  <w15:chartTrackingRefBased/>
  <w15:docId w15:val="{7F9C6BBD-946A-407B-9DCB-3417DF628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</w:pPr>
  </w:style>
  <w:style w:type="paragraph" w:styleId="Nadpis1">
    <w:name w:val="heading 1"/>
    <w:basedOn w:val="Normlny"/>
    <w:next w:val="Normlny"/>
    <w:link w:val="Nadpis1Char"/>
    <w:uiPriority w:val="9"/>
    <w:qFormat/>
    <w:rsid w:val="00A6519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A651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A6519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A6519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A6519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6519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6519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6519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6519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6519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A651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651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A65190"/>
    <w:rPr>
      <w:rFonts w:cstheme="majorBidi"/>
      <w:color w:val="0F4761" w:themeColor="accent1" w:themeShade="BF"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A65190"/>
    <w:rPr>
      <w:rFonts w:cstheme="majorBidi"/>
      <w:color w:val="0F4761" w:themeColor="accent1" w:themeShade="BF"/>
      <w:sz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65190"/>
    <w:rPr>
      <w:rFonts w:cstheme="majorBidi"/>
      <w:b/>
      <w:bCs/>
      <w:color w:val="0F4761" w:themeColor="accent1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65190"/>
    <w:rPr>
      <w:rFonts w:cstheme="majorBidi"/>
      <w:b/>
      <w:bCs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65190"/>
    <w:rPr>
      <w:rFonts w:cstheme="majorBidi"/>
      <w:color w:val="595959" w:themeColor="text1" w:themeTint="A6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65190"/>
    <w:rPr>
      <w:rFonts w:eastAsiaTheme="majorEastAsia" w:cstheme="majorBidi"/>
      <w:color w:val="595959" w:themeColor="text1" w:themeTint="A6"/>
    </w:rPr>
  </w:style>
  <w:style w:type="paragraph" w:styleId="Nzov">
    <w:name w:val="Title"/>
    <w:basedOn w:val="Normlny"/>
    <w:next w:val="Normlny"/>
    <w:link w:val="NzovChar"/>
    <w:uiPriority w:val="10"/>
    <w:qFormat/>
    <w:rsid w:val="00A6519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A651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A6519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A6519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A651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A65190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A65190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A65190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A651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A65190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A65190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A6519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lavikaChar">
    <w:name w:val="Hlavička Char"/>
    <w:basedOn w:val="Predvolenpsmoodseku"/>
    <w:link w:val="Hlavika"/>
    <w:uiPriority w:val="99"/>
    <w:rsid w:val="00A65190"/>
    <w:rPr>
      <w:sz w:val="18"/>
      <w:szCs w:val="18"/>
    </w:rPr>
  </w:style>
  <w:style w:type="paragraph" w:styleId="Pta">
    <w:name w:val="footer"/>
    <w:basedOn w:val="Normlny"/>
    <w:link w:val="PtaChar"/>
    <w:uiPriority w:val="99"/>
    <w:unhideWhenUsed/>
    <w:rsid w:val="00A6519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PtaChar">
    <w:name w:val="Päta Char"/>
    <w:basedOn w:val="Predvolenpsmoodseku"/>
    <w:link w:val="Pta"/>
    <w:uiPriority w:val="99"/>
    <w:rsid w:val="00A65190"/>
    <w:rPr>
      <w:sz w:val="18"/>
      <w:szCs w:val="18"/>
    </w:rPr>
  </w:style>
  <w:style w:type="paragraph" w:styleId="Normlnywebov">
    <w:name w:val="Normal (Web)"/>
    <w:basedOn w:val="Normlny"/>
    <w:uiPriority w:val="99"/>
    <w:semiHidden/>
    <w:unhideWhenUsed/>
    <w:rsid w:val="003D09BD"/>
    <w:rPr>
      <w:rFonts w:ascii="Times New Roman" w:hAnsi="Times New Roman" w:cs="Times New Roman"/>
      <w:sz w:val="24"/>
    </w:rPr>
  </w:style>
  <w:style w:type="paragraph" w:styleId="Revzia">
    <w:name w:val="Revision"/>
    <w:hidden/>
    <w:uiPriority w:val="99"/>
    <w:semiHidden/>
    <w:rsid w:val="008572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paulina.gronesova@savba.sk</cp:lastModifiedBy>
  <cp:revision>4</cp:revision>
  <dcterms:created xsi:type="dcterms:W3CDTF">2025-12-13T16:12:00Z</dcterms:created>
  <dcterms:modified xsi:type="dcterms:W3CDTF">2025-12-14T12:44:00Z</dcterms:modified>
</cp:coreProperties>
</file>