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003D" w14:textId="77777777" w:rsidR="00E71619" w:rsidRPr="00E71619" w:rsidRDefault="00E71619" w:rsidP="00E71619">
      <w:pPr>
        <w:widowControl w:val="0"/>
        <w:spacing w:after="0" w:line="360" w:lineRule="auto"/>
        <w:jc w:val="both"/>
        <w:rPr>
          <w:rFonts w:ascii="Times New Roman" w:eastAsia="SimSun" w:hAnsi="Times New Roman" w:cs="Times New Roman"/>
          <w:b/>
          <w:bCs/>
          <w:sz w:val="24"/>
          <w:szCs w:val="24"/>
          <w:lang w:val="en-US" w:eastAsia="zh-CN"/>
          <w14:ligatures w14:val="none"/>
        </w:rPr>
      </w:pPr>
      <w:r w:rsidRPr="00E71619">
        <w:rPr>
          <w:rFonts w:ascii="Times New Roman" w:eastAsia="SimSun" w:hAnsi="Times New Roman" w:cs="Times New Roman"/>
          <w:b/>
          <w:bCs/>
          <w:sz w:val="24"/>
          <w:szCs w:val="24"/>
          <w:lang w:val="en-US" w:eastAsia="zh-CN"/>
          <w14:ligatures w14:val="none"/>
        </w:rPr>
        <w:t>Supplementary Figure Legends</w:t>
      </w:r>
    </w:p>
    <w:p w14:paraId="3E042317" w14:textId="77777777" w:rsidR="00E71619" w:rsidRPr="00E71619" w:rsidRDefault="00E71619" w:rsidP="00E71619">
      <w:pPr>
        <w:widowControl w:val="0"/>
        <w:spacing w:after="0" w:line="360" w:lineRule="auto"/>
        <w:jc w:val="both"/>
        <w:rPr>
          <w:rFonts w:ascii="Times New Roman" w:eastAsia="SimSun" w:hAnsi="Times New Roman" w:cs="Times New Roman"/>
          <w:sz w:val="24"/>
          <w:szCs w:val="24"/>
          <w:lang w:val="en-US" w:eastAsia="zh-CN"/>
          <w14:ligatures w14:val="none"/>
        </w:rPr>
      </w:pPr>
    </w:p>
    <w:p w14:paraId="3FC2F7A8" w14:textId="77777777" w:rsidR="00E71619" w:rsidRPr="00E71619" w:rsidRDefault="00E71619" w:rsidP="00E71619">
      <w:pPr>
        <w:widowControl w:val="0"/>
        <w:spacing w:after="0" w:line="360" w:lineRule="auto"/>
        <w:jc w:val="both"/>
        <w:rPr>
          <w:rFonts w:ascii="Times New Roman" w:eastAsia="SimSun" w:hAnsi="Times New Roman" w:cs="Times New Roman" w:hint="eastAsia"/>
          <w:sz w:val="24"/>
          <w:szCs w:val="24"/>
          <w:lang w:val="en-US" w:eastAsia="zh-CN"/>
          <w14:ligatures w14:val="none"/>
        </w:rPr>
      </w:pPr>
      <w:r w:rsidRPr="00E71619">
        <w:rPr>
          <w:rFonts w:ascii="Times New Roman" w:eastAsia="SimSun" w:hAnsi="Times New Roman" w:cs="Times New Roman" w:hint="eastAsia"/>
          <w:b/>
          <w:bCs/>
          <w:sz w:val="24"/>
          <w:szCs w:val="24"/>
          <w:lang w:val="en-US" w:eastAsia="zh-CN"/>
          <w14:ligatures w14:val="none"/>
        </w:rPr>
        <w:t>Supplementary Figure S1</w:t>
      </w:r>
      <w:r w:rsidRPr="00E71619">
        <w:rPr>
          <w:rFonts w:ascii="Times New Roman" w:eastAsia="SimSun" w:hAnsi="Times New Roman" w:cs="Times New Roman"/>
          <w:b/>
          <w:bCs/>
          <w:sz w:val="24"/>
          <w:szCs w:val="24"/>
          <w:lang w:val="en-US" w:eastAsia="zh-CN"/>
          <w14:ligatures w14:val="none"/>
        </w:rPr>
        <w:t>.</w:t>
      </w:r>
      <w:r w:rsidRPr="00E71619">
        <w:rPr>
          <w:rFonts w:ascii="Times New Roman" w:eastAsia="SimSun" w:hAnsi="Times New Roman" w:cs="Times New Roman" w:hint="eastAsia"/>
          <w:b/>
          <w:bCs/>
          <w:sz w:val="24"/>
          <w:szCs w:val="24"/>
          <w:lang w:val="en-US" w:eastAsia="zh-CN"/>
          <w14:ligatures w14:val="none"/>
        </w:rPr>
        <w:t xml:space="preserve"> </w:t>
      </w:r>
      <w:r w:rsidRPr="00E71619">
        <w:rPr>
          <w:rFonts w:ascii="Times New Roman" w:eastAsia="SimSun" w:hAnsi="Times New Roman" w:cs="Times New Roman" w:hint="eastAsia"/>
          <w:sz w:val="24"/>
          <w:szCs w:val="24"/>
          <w:lang w:val="en-US" w:eastAsia="zh-CN"/>
          <w14:ligatures w14:val="none"/>
        </w:rPr>
        <w:t xml:space="preserve">SLC44A1 expression in Pan-Cancer. A) SLC44A1 expression levels in 33 tumor types and normal tissues from the TCGA database. B) For tumors lacking normal tissue data in TCGA, SLC44A1 expression was compared between tumor tissues and matched normal tissues from the </w:t>
      </w:r>
      <w:proofErr w:type="spellStart"/>
      <w:r w:rsidRPr="00E71619">
        <w:rPr>
          <w:rFonts w:ascii="Times New Roman" w:eastAsia="SimSun" w:hAnsi="Times New Roman" w:cs="Times New Roman" w:hint="eastAsia"/>
          <w:sz w:val="24"/>
          <w:szCs w:val="24"/>
          <w:lang w:val="en-US" w:eastAsia="zh-CN"/>
          <w14:ligatures w14:val="none"/>
        </w:rPr>
        <w:t>GTEx</w:t>
      </w:r>
      <w:proofErr w:type="spellEnd"/>
      <w:r w:rsidRPr="00E71619">
        <w:rPr>
          <w:rFonts w:ascii="Times New Roman" w:eastAsia="SimSun" w:hAnsi="Times New Roman" w:cs="Times New Roman" w:hint="eastAsia"/>
          <w:sz w:val="24"/>
          <w:szCs w:val="24"/>
          <w:lang w:val="en-US" w:eastAsia="zh-CN"/>
          <w14:ligatures w14:val="none"/>
        </w:rPr>
        <w:t xml:space="preserve"> database using GEPIA. C) The UALCAN database was applied to compare SLC44A1 protein expression between tumor and respective normal tissues.</w:t>
      </w:r>
      <w:r w:rsidRPr="00E71619">
        <w:rPr>
          <w:rFonts w:ascii="Times New Roman" w:eastAsia="SimSun" w:hAnsi="Times New Roman" w:cs="Times New Roman"/>
          <w:sz w:val="24"/>
          <w:szCs w:val="24"/>
          <w:lang w:val="en-US" w:eastAsia="zh-CN"/>
          <w14:ligatures w14:val="none"/>
        </w:rPr>
        <w:t xml:space="preserve"> </w:t>
      </w:r>
      <w:r w:rsidRPr="00E71619">
        <w:rPr>
          <w:rFonts w:ascii="Times New Roman" w:eastAsia="SimSun" w:hAnsi="Times New Roman" w:cs="Times New Roman" w:hint="eastAsia"/>
          <w:sz w:val="24"/>
          <w:szCs w:val="24"/>
          <w:lang w:val="en-US" w:eastAsia="zh-CN"/>
          <w14:ligatures w14:val="none"/>
        </w:rPr>
        <w:t>*p</w:t>
      </w:r>
      <w:r w:rsidRPr="00E71619">
        <w:rPr>
          <w:rFonts w:ascii="Times New Roman" w:eastAsia="SimSun" w:hAnsi="Times New Roman" w:cs="Times New Roman"/>
          <w:sz w:val="24"/>
          <w:szCs w:val="24"/>
          <w:lang w:val="en-US" w:eastAsia="zh-CN"/>
          <w14:ligatures w14:val="none"/>
        </w:rPr>
        <w:t xml:space="preserve"> </w:t>
      </w:r>
      <w:r w:rsidRPr="00E71619">
        <w:rPr>
          <w:rFonts w:ascii="Times New Roman" w:eastAsia="SimSun" w:hAnsi="Times New Roman" w:cs="Times New Roman" w:hint="eastAsia"/>
          <w:sz w:val="24"/>
          <w:szCs w:val="24"/>
          <w:lang w:val="en-US" w:eastAsia="zh-CN"/>
          <w14:ligatures w14:val="none"/>
        </w:rPr>
        <w:t>&lt;</w:t>
      </w:r>
      <w:r w:rsidRPr="00E71619">
        <w:rPr>
          <w:rFonts w:ascii="Times New Roman" w:eastAsia="SimSun" w:hAnsi="Times New Roman" w:cs="Times New Roman"/>
          <w:sz w:val="24"/>
          <w:szCs w:val="24"/>
          <w:lang w:val="en-US" w:eastAsia="zh-CN"/>
          <w14:ligatures w14:val="none"/>
        </w:rPr>
        <w:t xml:space="preserve"> </w:t>
      </w:r>
      <w:r w:rsidRPr="00E71619">
        <w:rPr>
          <w:rFonts w:ascii="Times New Roman" w:eastAsia="SimSun" w:hAnsi="Times New Roman" w:cs="Times New Roman" w:hint="eastAsia"/>
          <w:sz w:val="24"/>
          <w:szCs w:val="24"/>
          <w:lang w:val="en-US" w:eastAsia="zh-CN"/>
          <w14:ligatures w14:val="none"/>
        </w:rPr>
        <w:t>0.05; **p &lt; 0.01; ***p &lt; 0.001; ****p</w:t>
      </w:r>
      <w:r w:rsidRPr="00E71619">
        <w:rPr>
          <w:rFonts w:ascii="Times New Roman" w:eastAsia="SimSun" w:hAnsi="Times New Roman" w:cs="Times New Roman"/>
          <w:sz w:val="24"/>
          <w:szCs w:val="24"/>
          <w:lang w:val="en-US" w:eastAsia="zh-CN"/>
          <w14:ligatures w14:val="none"/>
        </w:rPr>
        <w:t xml:space="preserve"> </w:t>
      </w:r>
      <w:r w:rsidRPr="00E71619">
        <w:rPr>
          <w:rFonts w:ascii="Times New Roman" w:eastAsia="SimSun" w:hAnsi="Times New Roman" w:cs="Times New Roman" w:hint="eastAsia"/>
          <w:sz w:val="24"/>
          <w:szCs w:val="24"/>
          <w:lang w:val="en-US" w:eastAsia="zh-CN"/>
          <w14:ligatures w14:val="none"/>
        </w:rPr>
        <w:t>&lt; 0.0001</w:t>
      </w:r>
    </w:p>
    <w:p w14:paraId="35A3BAC1" w14:textId="77777777" w:rsidR="00E71619" w:rsidRPr="00E71619" w:rsidRDefault="00E71619" w:rsidP="00E71619">
      <w:pPr>
        <w:widowControl w:val="0"/>
        <w:spacing w:after="0" w:line="360" w:lineRule="auto"/>
        <w:jc w:val="both"/>
        <w:rPr>
          <w:rFonts w:ascii="Times New Roman" w:eastAsia="SimSun" w:hAnsi="Times New Roman" w:cs="Times New Roman"/>
          <w:sz w:val="24"/>
          <w:szCs w:val="24"/>
          <w:lang w:val="en-US" w:eastAsia="zh-CN"/>
          <w14:ligatures w14:val="none"/>
        </w:rPr>
      </w:pPr>
    </w:p>
    <w:p w14:paraId="654045F8" w14:textId="77777777" w:rsidR="00E71619" w:rsidRPr="00E71619" w:rsidRDefault="00E71619" w:rsidP="00E71619">
      <w:pPr>
        <w:spacing w:after="0" w:line="360" w:lineRule="auto"/>
        <w:jc w:val="both"/>
        <w:rPr>
          <w:rFonts w:ascii="Times New Roman" w:eastAsia="SimSun" w:hAnsi="Times New Roman" w:cs="Times New Roman"/>
          <w:color w:val="000000"/>
          <w:kern w:val="0"/>
          <w:sz w:val="24"/>
          <w:szCs w:val="24"/>
          <w:lang w:val="en-US" w:eastAsia="zh-CN" w:bidi="ar"/>
          <w14:ligatures w14:val="none"/>
        </w:rPr>
      </w:pPr>
      <w:r w:rsidRPr="00E71619">
        <w:rPr>
          <w:rFonts w:ascii="Times New Roman" w:eastAsia="SimSun" w:hAnsi="Times New Roman" w:cs="Times New Roman"/>
          <w:b/>
          <w:bCs/>
          <w:color w:val="000000"/>
          <w:kern w:val="0"/>
          <w:sz w:val="24"/>
          <w:szCs w:val="24"/>
          <w:lang w:val="en-US" w:eastAsia="zh-CN" w:bidi="ar"/>
          <w14:ligatures w14:val="none"/>
        </w:rPr>
        <w:t>Supplementary Figure S</w:t>
      </w:r>
      <w:r w:rsidRPr="00E71619">
        <w:rPr>
          <w:rFonts w:ascii="Times New Roman" w:eastAsia="SimSun" w:hAnsi="Times New Roman" w:cs="Times New Roman" w:hint="eastAsia"/>
          <w:b/>
          <w:bCs/>
          <w:color w:val="000000"/>
          <w:kern w:val="0"/>
          <w:sz w:val="24"/>
          <w:szCs w:val="24"/>
          <w:lang w:val="en-US" w:eastAsia="zh-CN" w:bidi="ar"/>
          <w14:ligatures w14:val="none"/>
        </w:rPr>
        <w:t>2</w:t>
      </w:r>
      <w:r w:rsidRPr="00E71619">
        <w:rPr>
          <w:rFonts w:ascii="Times New Roman" w:eastAsia="SimSun" w:hAnsi="Times New Roman" w:cs="Times New Roman"/>
          <w:b/>
          <w:bCs/>
          <w:color w:val="000000"/>
          <w:kern w:val="0"/>
          <w:sz w:val="24"/>
          <w:szCs w:val="24"/>
          <w:lang w:val="en-US" w:eastAsia="zh-CN" w:bidi="ar"/>
          <w14:ligatures w14:val="none"/>
        </w:rPr>
        <w:t xml:space="preserve">. </w:t>
      </w:r>
      <w:r w:rsidRPr="00E71619">
        <w:rPr>
          <w:rFonts w:ascii="Times New Roman" w:eastAsia="SimSun" w:hAnsi="Times New Roman" w:cs="Times New Roman"/>
          <w:color w:val="000000"/>
          <w:kern w:val="0"/>
          <w:sz w:val="24"/>
          <w:szCs w:val="24"/>
          <w:lang w:val="en-US" w:eastAsia="zh-CN" w:bidi="ar"/>
          <w14:ligatures w14:val="none"/>
        </w:rPr>
        <w:t xml:space="preserve">Clinical Relevance of SLC44A1 in AML. A-D) Association of SLC44A1 expression with WBC count (A), risk level (B), APL subtype (C), and FAB classification (M0, M1, M2, M4, M5) (D) was analyzed in the TCGA cohort. </w:t>
      </w:r>
      <w:r w:rsidRPr="00E71619">
        <w:rPr>
          <w:rFonts w:ascii="Times New Roman" w:eastAsia="SimSun" w:hAnsi="Times New Roman" w:cs="Times New Roman" w:hint="eastAsia"/>
          <w:color w:val="000000"/>
          <w:kern w:val="0"/>
          <w:sz w:val="24"/>
          <w:szCs w:val="24"/>
          <w:lang w:val="en-US" w:eastAsia="zh-CN" w:bidi="ar"/>
          <w14:ligatures w14:val="none"/>
        </w:rPr>
        <w:t>E</w:t>
      </w:r>
      <w:r w:rsidRPr="00E71619">
        <w:rPr>
          <w:rFonts w:ascii="Times New Roman" w:eastAsia="SimSun" w:hAnsi="Times New Roman" w:cs="Times New Roman"/>
          <w:color w:val="000000"/>
          <w:kern w:val="0"/>
          <w:sz w:val="24"/>
          <w:szCs w:val="24"/>
          <w:lang w:val="en-US" w:eastAsia="zh-CN" w:bidi="ar"/>
          <w14:ligatures w14:val="none"/>
        </w:rPr>
        <w:t>-G) The expression level of SLC44A1 was detected in the AML patients with DNMT3A mutation (R882H)</w:t>
      </w:r>
      <w:r w:rsidRPr="00E71619">
        <w:rPr>
          <w:rFonts w:ascii="Times New Roman" w:eastAsia="SimSun" w:hAnsi="Times New Roman" w:cs="Times New Roman" w:hint="eastAsia"/>
          <w:color w:val="000000"/>
          <w:kern w:val="0"/>
          <w:sz w:val="24"/>
          <w:szCs w:val="24"/>
          <w:lang w:val="en-US" w:eastAsia="zh-CN" w:bidi="ar"/>
          <w14:ligatures w14:val="none"/>
        </w:rPr>
        <w:t xml:space="preserve"> </w:t>
      </w:r>
      <w:r w:rsidRPr="00E71619">
        <w:rPr>
          <w:rFonts w:ascii="Times New Roman" w:eastAsia="SimSun" w:hAnsi="Times New Roman" w:cs="Times New Roman"/>
          <w:color w:val="000000"/>
          <w:kern w:val="0"/>
          <w:sz w:val="24"/>
          <w:szCs w:val="24"/>
          <w:lang w:val="en-US" w:eastAsia="zh-CN" w:bidi="ar"/>
          <w14:ligatures w14:val="none"/>
        </w:rPr>
        <w:t xml:space="preserve">(E), FLT3 mutation (D835Y) (F), and NPM1 mutation (W288F) (G) by </w:t>
      </w:r>
      <w:proofErr w:type="spellStart"/>
      <w:r w:rsidRPr="00E71619">
        <w:rPr>
          <w:rFonts w:ascii="Times New Roman" w:eastAsia="SimSun" w:hAnsi="Times New Roman" w:cs="Times New Roman"/>
          <w:color w:val="000000"/>
          <w:kern w:val="0"/>
          <w:sz w:val="24"/>
          <w:szCs w:val="24"/>
          <w:lang w:val="en-US" w:eastAsia="zh-CN" w:bidi="ar"/>
          <w14:ligatures w14:val="none"/>
        </w:rPr>
        <w:t>LinkedOmics</w:t>
      </w:r>
      <w:proofErr w:type="spellEnd"/>
      <w:r w:rsidRPr="00E71619">
        <w:rPr>
          <w:rFonts w:ascii="Times New Roman" w:eastAsia="SimSun" w:hAnsi="Times New Roman" w:cs="Times New Roman"/>
          <w:color w:val="000000"/>
          <w:kern w:val="0"/>
          <w:sz w:val="24"/>
          <w:szCs w:val="24"/>
          <w:lang w:val="en-US" w:eastAsia="zh-CN" w:bidi="ar"/>
          <w14:ligatures w14:val="none"/>
        </w:rPr>
        <w:t>. H) The ROC curve for SLC44A1 in the AML and normal subjects from TCGA. (I) SLC44A1 expression in GSE103424. Data were analyzed using the Mann-Whitney U test (A-C, E-G, I), and one-way ANOVA (D). *p &lt; 0.05; **p &lt; 0.01; ***p &lt; 0.001; ****p &lt; 0.0001</w:t>
      </w:r>
    </w:p>
    <w:p w14:paraId="6DC91C59" w14:textId="77777777" w:rsidR="00E71619" w:rsidRPr="00E71619" w:rsidRDefault="00E71619" w:rsidP="00E71619">
      <w:pPr>
        <w:spacing w:after="0" w:line="360" w:lineRule="auto"/>
        <w:jc w:val="both"/>
        <w:rPr>
          <w:rFonts w:ascii="Times New Roman" w:eastAsia="SimSun" w:hAnsi="Times New Roman" w:cs="Times New Roman"/>
          <w:color w:val="000000"/>
          <w:kern w:val="0"/>
          <w:sz w:val="24"/>
          <w:szCs w:val="24"/>
          <w:lang w:val="en-US" w:eastAsia="zh-CN" w:bidi="ar"/>
          <w14:ligatures w14:val="none"/>
        </w:rPr>
      </w:pPr>
    </w:p>
    <w:p w14:paraId="575179B1" w14:textId="77777777" w:rsidR="00E71619" w:rsidRPr="00E71619" w:rsidRDefault="00E71619" w:rsidP="00E71619">
      <w:pPr>
        <w:spacing w:after="0" w:line="360" w:lineRule="auto"/>
        <w:jc w:val="both"/>
        <w:rPr>
          <w:rFonts w:ascii="Times New Roman" w:eastAsia="SimSun" w:hAnsi="Times New Roman" w:cs="Times New Roman"/>
          <w:color w:val="000000"/>
          <w:kern w:val="0"/>
          <w:sz w:val="24"/>
          <w:szCs w:val="24"/>
          <w:lang w:val="en-US" w:eastAsia="zh-CN" w:bidi="ar"/>
          <w14:ligatures w14:val="none"/>
        </w:rPr>
      </w:pPr>
      <w:r w:rsidRPr="00E71619">
        <w:rPr>
          <w:rFonts w:ascii="Times New Roman" w:eastAsia="SimSun" w:hAnsi="Times New Roman" w:cs="Times New Roman"/>
          <w:b/>
          <w:bCs/>
          <w:color w:val="000000"/>
          <w:kern w:val="0"/>
          <w:sz w:val="24"/>
          <w:szCs w:val="24"/>
          <w:lang w:val="en-US" w:eastAsia="zh-CN" w:bidi="ar"/>
          <w14:ligatures w14:val="none"/>
        </w:rPr>
        <w:t>Supplementary Figure S</w:t>
      </w:r>
      <w:r w:rsidRPr="00E71619">
        <w:rPr>
          <w:rFonts w:ascii="Times New Roman" w:eastAsia="SimSun" w:hAnsi="Times New Roman" w:cs="Times New Roman" w:hint="eastAsia"/>
          <w:b/>
          <w:bCs/>
          <w:color w:val="000000"/>
          <w:kern w:val="0"/>
          <w:sz w:val="24"/>
          <w:szCs w:val="24"/>
          <w:lang w:val="en-US" w:eastAsia="zh-CN" w:bidi="ar"/>
          <w14:ligatures w14:val="none"/>
        </w:rPr>
        <w:t>3</w:t>
      </w:r>
      <w:r w:rsidRPr="00E71619">
        <w:rPr>
          <w:rFonts w:ascii="Times New Roman" w:eastAsia="SimSun" w:hAnsi="Times New Roman" w:cs="Times New Roman"/>
          <w:b/>
          <w:bCs/>
          <w:color w:val="000000"/>
          <w:kern w:val="0"/>
          <w:sz w:val="24"/>
          <w:szCs w:val="24"/>
          <w:lang w:val="en-US" w:eastAsia="zh-CN" w:bidi="ar"/>
          <w14:ligatures w14:val="none"/>
        </w:rPr>
        <w:t xml:space="preserve">. </w:t>
      </w:r>
      <w:r w:rsidRPr="00E71619">
        <w:rPr>
          <w:rFonts w:ascii="Times New Roman" w:eastAsia="SimSun" w:hAnsi="Times New Roman" w:cs="Times New Roman"/>
          <w:color w:val="000000"/>
          <w:kern w:val="0"/>
          <w:sz w:val="24"/>
          <w:szCs w:val="24"/>
          <w:lang w:val="en-US" w:eastAsia="zh-CN" w:bidi="ar"/>
          <w14:ligatures w14:val="none"/>
        </w:rPr>
        <w:t>SLC44A1 predicts poor prognosis in AML. A, B) Kaplan-Meier survival analysis for overall survival (OS) (A) and event-free survival (EFS) (B) based on the TCGA cohort. C, D) Kaplan-Meier curves for OS (C) and EFS (D) in good/intermediate-risk subsets from the TCGA cohort. E, F) The ROC curve and AUC value of a nomogram for OS (E) and EFS (F). G, H) Calibration plots of the nomogram for 1-, 3-, and 5-years OS (G), calibration plots of the nomogram for 1-,3-, and 5-years EFS (H). Data were analyzed using Kaplan-Meier (KM)</w:t>
      </w:r>
      <w:r w:rsidRPr="00E71619">
        <w:rPr>
          <w:rFonts w:ascii="Times New Roman" w:eastAsia="SimSun" w:hAnsi="Times New Roman" w:cs="Times New Roman" w:hint="eastAsia"/>
          <w:color w:val="000000"/>
          <w:kern w:val="0"/>
          <w:sz w:val="24"/>
          <w:szCs w:val="24"/>
          <w:lang w:val="en-US" w:eastAsia="zh-CN" w:bidi="ar"/>
          <w14:ligatures w14:val="none"/>
        </w:rPr>
        <w:t xml:space="preserve"> </w:t>
      </w:r>
      <w:r w:rsidRPr="00E71619">
        <w:rPr>
          <w:rFonts w:ascii="Times New Roman" w:eastAsia="SimSun" w:hAnsi="Times New Roman" w:cs="Times New Roman"/>
          <w:color w:val="000000"/>
          <w:kern w:val="0"/>
          <w:sz w:val="24"/>
          <w:szCs w:val="24"/>
          <w:lang w:val="en-US" w:eastAsia="zh-CN" w:bidi="ar"/>
          <w14:ligatures w14:val="none"/>
        </w:rPr>
        <w:t>analysis (A-D).</w:t>
      </w:r>
    </w:p>
    <w:p w14:paraId="6BB662C6" w14:textId="77777777" w:rsidR="00E71619" w:rsidRPr="00E71619" w:rsidRDefault="00E71619" w:rsidP="00E71619">
      <w:pPr>
        <w:spacing w:after="0" w:line="360" w:lineRule="auto"/>
        <w:ind w:left="240" w:hangingChars="100" w:hanging="240"/>
        <w:jc w:val="both"/>
        <w:rPr>
          <w:rFonts w:ascii="Times New Roman" w:eastAsia="SimSun" w:hAnsi="Times New Roman" w:cs="Times New Roman"/>
          <w:color w:val="000000"/>
          <w:kern w:val="0"/>
          <w:sz w:val="24"/>
          <w:szCs w:val="24"/>
          <w:lang w:val="en-US" w:eastAsia="zh-CN" w:bidi="ar"/>
          <w14:ligatures w14:val="none"/>
        </w:rPr>
      </w:pPr>
    </w:p>
    <w:p w14:paraId="4EF84036" w14:textId="77777777" w:rsidR="00E71619" w:rsidRPr="00E71619" w:rsidRDefault="00E71619" w:rsidP="00E71619">
      <w:pPr>
        <w:spacing w:after="0" w:line="360" w:lineRule="auto"/>
        <w:jc w:val="both"/>
        <w:rPr>
          <w:rFonts w:ascii="Times New Roman" w:eastAsia="SimSun" w:hAnsi="Times New Roman" w:cs="Times New Roman"/>
          <w:color w:val="000000"/>
          <w:kern w:val="0"/>
          <w:sz w:val="24"/>
          <w:szCs w:val="24"/>
          <w:lang w:val="en-US" w:eastAsia="zh-CN" w:bidi="ar"/>
          <w14:ligatures w14:val="none"/>
        </w:rPr>
      </w:pPr>
      <w:r w:rsidRPr="00E71619">
        <w:rPr>
          <w:rFonts w:ascii="Times New Roman" w:eastAsia="SimSun" w:hAnsi="Times New Roman" w:cs="Times New Roman"/>
          <w:b/>
          <w:bCs/>
          <w:color w:val="000000"/>
          <w:kern w:val="0"/>
          <w:sz w:val="24"/>
          <w:szCs w:val="24"/>
          <w:lang w:val="en-US" w:eastAsia="zh-CN" w:bidi="ar"/>
          <w14:ligatures w14:val="none"/>
        </w:rPr>
        <w:t>Supplementary Figure S</w:t>
      </w:r>
      <w:r w:rsidRPr="00E71619">
        <w:rPr>
          <w:rFonts w:ascii="Times New Roman" w:eastAsia="SimSun" w:hAnsi="Times New Roman" w:cs="Times New Roman" w:hint="eastAsia"/>
          <w:b/>
          <w:bCs/>
          <w:color w:val="000000"/>
          <w:kern w:val="0"/>
          <w:sz w:val="24"/>
          <w:szCs w:val="24"/>
          <w:lang w:val="en-US" w:eastAsia="zh-CN" w:bidi="ar"/>
          <w14:ligatures w14:val="none"/>
        </w:rPr>
        <w:t>4</w:t>
      </w:r>
      <w:r w:rsidRPr="00E71619">
        <w:rPr>
          <w:rFonts w:ascii="Times New Roman" w:eastAsia="SimSun" w:hAnsi="Times New Roman" w:cs="Times New Roman"/>
          <w:b/>
          <w:bCs/>
          <w:color w:val="000000"/>
          <w:kern w:val="0"/>
          <w:sz w:val="24"/>
          <w:szCs w:val="24"/>
          <w:lang w:val="en-US" w:eastAsia="zh-CN" w:bidi="ar"/>
          <w14:ligatures w14:val="none"/>
        </w:rPr>
        <w:t xml:space="preserve">. </w:t>
      </w:r>
      <w:r w:rsidRPr="00E71619">
        <w:rPr>
          <w:rFonts w:ascii="Times New Roman" w:eastAsia="SimSun" w:hAnsi="Times New Roman" w:cs="Times New Roman"/>
          <w:color w:val="000000"/>
          <w:kern w:val="0"/>
          <w:sz w:val="24"/>
          <w:szCs w:val="24"/>
          <w:lang w:val="en-US" w:eastAsia="zh-CN" w:bidi="ar"/>
          <w14:ligatures w14:val="none"/>
        </w:rPr>
        <w:t>Integrated Single-cell and Immunofluorescence Mapping of SLC44A1 in AML. A) Expression of SLC44A1 during hematopoietic differentiation. B, C</w:t>
      </w:r>
      <w:r w:rsidRPr="00E71619">
        <w:rPr>
          <w:rFonts w:ascii="Times New Roman" w:eastAsia="SimSun" w:hAnsi="Times New Roman" w:cs="Times New Roman"/>
          <w:color w:val="000000"/>
          <w:kern w:val="0"/>
          <w:sz w:val="24"/>
          <w:szCs w:val="24"/>
          <w:lang w:eastAsia="zh-CN" w:bidi="ar"/>
          <w14:ligatures w14:val="none"/>
        </w:rPr>
        <w:t xml:space="preserve">) </w:t>
      </w:r>
      <w:r w:rsidRPr="00E71619">
        <w:rPr>
          <w:rFonts w:ascii="Times New Roman" w:eastAsia="SimSun" w:hAnsi="Times New Roman" w:cs="Times New Roman"/>
          <w:color w:val="000000"/>
          <w:kern w:val="0"/>
          <w:sz w:val="24"/>
          <w:szCs w:val="24"/>
          <w:lang w:val="en-US" w:eastAsia="zh-CN" w:bidi="ar"/>
          <w14:ligatures w14:val="none"/>
        </w:rPr>
        <w:t>Single-cell RNA sequencing analysis revealed distinct SLC44A1 expression patterns across immune cell populations.</w:t>
      </w:r>
    </w:p>
    <w:p w14:paraId="4C3E78E1" w14:textId="77777777" w:rsidR="00496425" w:rsidRDefault="00496425" w:rsidP="00E71619">
      <w:pPr>
        <w:spacing w:line="360" w:lineRule="auto"/>
      </w:pPr>
    </w:p>
    <w:sectPr w:rsidR="00496425" w:rsidSect="00E71619">
      <w:pgSz w:w="11906" w:h="16838"/>
      <w:pgMar w:top="1134" w:right="1134" w:bottom="1134" w:left="1134" w:header="102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73EF7" w14:textId="77777777" w:rsidR="00984C2F" w:rsidRDefault="00984C2F" w:rsidP="00E71619">
      <w:pPr>
        <w:spacing w:after="0" w:line="240" w:lineRule="auto"/>
      </w:pPr>
      <w:r>
        <w:separator/>
      </w:r>
    </w:p>
  </w:endnote>
  <w:endnote w:type="continuationSeparator" w:id="0">
    <w:p w14:paraId="6388680C" w14:textId="77777777" w:rsidR="00984C2F" w:rsidRDefault="00984C2F" w:rsidP="00E71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6C1D6" w14:textId="77777777" w:rsidR="00984C2F" w:rsidRDefault="00984C2F" w:rsidP="00E71619">
      <w:pPr>
        <w:spacing w:after="0" w:line="240" w:lineRule="auto"/>
      </w:pPr>
      <w:r>
        <w:separator/>
      </w:r>
    </w:p>
  </w:footnote>
  <w:footnote w:type="continuationSeparator" w:id="0">
    <w:p w14:paraId="02C960E0" w14:textId="77777777" w:rsidR="00984C2F" w:rsidRDefault="00984C2F" w:rsidP="00E716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EF"/>
    <w:rsid w:val="00496425"/>
    <w:rsid w:val="00605439"/>
    <w:rsid w:val="006E62CB"/>
    <w:rsid w:val="00984C2F"/>
    <w:rsid w:val="00AF66EF"/>
    <w:rsid w:val="00C13B10"/>
    <w:rsid w:val="00E71619"/>
    <w:rsid w:val="00E947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0A781-E6FE-42EE-9D05-CA645677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F66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F66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F66E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F66E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F66EF"/>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F66E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F66E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F66E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F66E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F66E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F66E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F66EF"/>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F66EF"/>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F66EF"/>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F66E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F66E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F66E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F66EF"/>
    <w:rPr>
      <w:rFonts w:eastAsiaTheme="majorEastAsia" w:cstheme="majorBidi"/>
      <w:color w:val="272727" w:themeColor="text1" w:themeTint="D8"/>
    </w:rPr>
  </w:style>
  <w:style w:type="paragraph" w:styleId="Nzov">
    <w:name w:val="Title"/>
    <w:basedOn w:val="Normlny"/>
    <w:next w:val="Normlny"/>
    <w:link w:val="NzovChar"/>
    <w:uiPriority w:val="10"/>
    <w:qFormat/>
    <w:rsid w:val="00AF6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F66E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F66E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F66E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F66E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F66EF"/>
    <w:rPr>
      <w:i/>
      <w:iCs/>
      <w:color w:val="404040" w:themeColor="text1" w:themeTint="BF"/>
    </w:rPr>
  </w:style>
  <w:style w:type="paragraph" w:styleId="Odsekzoznamu">
    <w:name w:val="List Paragraph"/>
    <w:basedOn w:val="Normlny"/>
    <w:uiPriority w:val="34"/>
    <w:qFormat/>
    <w:rsid w:val="00AF66EF"/>
    <w:pPr>
      <w:ind w:left="720"/>
      <w:contextualSpacing/>
    </w:pPr>
  </w:style>
  <w:style w:type="character" w:styleId="Intenzvnezvraznenie">
    <w:name w:val="Intense Emphasis"/>
    <w:basedOn w:val="Predvolenpsmoodseku"/>
    <w:uiPriority w:val="21"/>
    <w:qFormat/>
    <w:rsid w:val="00AF66EF"/>
    <w:rPr>
      <w:i/>
      <w:iCs/>
      <w:color w:val="2F5496" w:themeColor="accent1" w:themeShade="BF"/>
    </w:rPr>
  </w:style>
  <w:style w:type="paragraph" w:styleId="Zvraznencitcia">
    <w:name w:val="Intense Quote"/>
    <w:basedOn w:val="Normlny"/>
    <w:next w:val="Normlny"/>
    <w:link w:val="ZvraznencitciaChar"/>
    <w:uiPriority w:val="30"/>
    <w:qFormat/>
    <w:rsid w:val="00AF6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F66EF"/>
    <w:rPr>
      <w:i/>
      <w:iCs/>
      <w:color w:val="2F5496" w:themeColor="accent1" w:themeShade="BF"/>
    </w:rPr>
  </w:style>
  <w:style w:type="character" w:styleId="Zvraznenodkaz">
    <w:name w:val="Intense Reference"/>
    <w:basedOn w:val="Predvolenpsmoodseku"/>
    <w:uiPriority w:val="32"/>
    <w:qFormat/>
    <w:rsid w:val="00AF66EF"/>
    <w:rPr>
      <w:b/>
      <w:bCs/>
      <w:smallCaps/>
      <w:color w:val="2F5496" w:themeColor="accent1" w:themeShade="BF"/>
      <w:spacing w:val="5"/>
    </w:rPr>
  </w:style>
  <w:style w:type="paragraph" w:styleId="Hlavika">
    <w:name w:val="header"/>
    <w:basedOn w:val="Normlny"/>
    <w:link w:val="HlavikaChar"/>
    <w:uiPriority w:val="99"/>
    <w:unhideWhenUsed/>
    <w:rsid w:val="00E7161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71619"/>
  </w:style>
  <w:style w:type="paragraph" w:styleId="Pta">
    <w:name w:val="footer"/>
    <w:basedOn w:val="Normlny"/>
    <w:link w:val="PtaChar"/>
    <w:uiPriority w:val="99"/>
    <w:unhideWhenUsed/>
    <w:rsid w:val="00E71619"/>
    <w:pPr>
      <w:tabs>
        <w:tab w:val="center" w:pos="4536"/>
        <w:tab w:val="right" w:pos="9072"/>
      </w:tabs>
      <w:spacing w:after="0" w:line="240" w:lineRule="auto"/>
    </w:pPr>
  </w:style>
  <w:style w:type="character" w:customStyle="1" w:styleId="PtaChar">
    <w:name w:val="Päta Char"/>
    <w:basedOn w:val="Predvolenpsmoodseku"/>
    <w:link w:val="Pta"/>
    <w:uiPriority w:val="99"/>
    <w:rsid w:val="00E71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paulina.gronesova@savba.sk</dc:creator>
  <cp:keywords/>
  <dc:description/>
  <cp:lastModifiedBy>paulina.gronesova@savba.sk</cp:lastModifiedBy>
  <cp:revision>2</cp:revision>
  <dcterms:created xsi:type="dcterms:W3CDTF">2026-01-08T20:46:00Z</dcterms:created>
  <dcterms:modified xsi:type="dcterms:W3CDTF">2026-01-08T20:46:00Z</dcterms:modified>
</cp:coreProperties>
</file>