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B6D8" w14:textId="3FF6A130" w:rsidR="00554DAF" w:rsidRPr="0078646E" w:rsidRDefault="00554DAF" w:rsidP="0078646E">
      <w:pPr>
        <w:widowControl/>
        <w:rPr>
          <w:rFonts w:eastAsia="DengXian" w:cs="Times New Roman"/>
          <w:szCs w:val="24"/>
        </w:rPr>
      </w:pPr>
      <w:r w:rsidRPr="0078646E">
        <w:rPr>
          <w:rFonts w:eastAsia="DengXian" w:cs="Times New Roman"/>
          <w:b/>
          <w:bCs/>
          <w:szCs w:val="24"/>
        </w:rPr>
        <w:t xml:space="preserve">Supplementary Table S1. </w:t>
      </w:r>
      <w:r w:rsidRPr="0078646E">
        <w:rPr>
          <w:rFonts w:eastAsia="DengXian" w:cs="Times New Roman"/>
          <w:szCs w:val="24"/>
        </w:rPr>
        <w:t>Primer sequences used for qRT-PCR</w:t>
      </w:r>
      <w:r w:rsidR="0078646E" w:rsidRPr="0078646E">
        <w:rPr>
          <w:rFonts w:eastAsia="DengXian" w:cs="Times New Roman"/>
          <w:szCs w:val="24"/>
        </w:rPr>
        <w:t>.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3537"/>
      </w:tblGrid>
      <w:tr w:rsidR="00554DAF" w:rsidRPr="0078646E" w14:paraId="4EE0FCC8" w14:textId="77777777" w:rsidTr="00753CD1"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14:paraId="7E225106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  <w:b/>
                <w:bCs/>
              </w:rPr>
            </w:pPr>
            <w:r w:rsidRPr="0078646E">
              <w:rPr>
                <w:rFonts w:ascii="Times New Roman" w:hAnsi="Times New Roman" w:cs="Times New Roman"/>
                <w:b/>
                <w:bCs/>
                <w:lang w:val="en-GB"/>
              </w:rPr>
              <w:t>Gene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14:paraId="058B3F7E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  <w:b/>
                <w:bCs/>
              </w:rPr>
            </w:pPr>
            <w:r w:rsidRPr="0078646E">
              <w:rPr>
                <w:rFonts w:ascii="Times New Roman" w:hAnsi="Times New Roman" w:cs="Times New Roman"/>
                <w:b/>
                <w:bCs/>
                <w:lang w:val="en-GB"/>
              </w:rPr>
              <w:t>Primer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14:paraId="4A0F7AA6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  <w:b/>
                <w:bCs/>
              </w:rPr>
            </w:pPr>
            <w:r w:rsidRPr="0078646E">
              <w:rPr>
                <w:rFonts w:ascii="Times New Roman" w:hAnsi="Times New Roman" w:cs="Times New Roman"/>
                <w:b/>
                <w:bCs/>
                <w:lang w:val="en-GB"/>
              </w:rPr>
              <w:t>Sequence (5′–3′)</w:t>
            </w:r>
          </w:p>
        </w:tc>
      </w:tr>
      <w:tr w:rsidR="00554DAF" w:rsidRPr="0078646E" w14:paraId="5245A543" w14:textId="77777777" w:rsidTr="00753CD1">
        <w:tc>
          <w:tcPr>
            <w:tcW w:w="2337" w:type="dxa"/>
            <w:tcBorders>
              <w:top w:val="single" w:sz="4" w:space="0" w:color="auto"/>
            </w:tcBorders>
          </w:tcPr>
          <w:p w14:paraId="284E73A0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  <w:i/>
                <w:iCs/>
              </w:rPr>
            </w:pPr>
            <w:r w:rsidRPr="0078646E">
              <w:rPr>
                <w:rFonts w:ascii="Times New Roman" w:hAnsi="Times New Roman" w:cs="Times New Roman"/>
                <w:i/>
                <w:iCs/>
                <w:lang w:val="en-GB"/>
              </w:rPr>
              <w:t>CYP24A1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14:paraId="64B69B56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Forward</w:t>
            </w:r>
          </w:p>
        </w:tc>
        <w:tc>
          <w:tcPr>
            <w:tcW w:w="2953" w:type="dxa"/>
            <w:tcBorders>
              <w:top w:val="single" w:sz="4" w:space="0" w:color="auto"/>
            </w:tcBorders>
          </w:tcPr>
          <w:p w14:paraId="4C7226C1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GACCTGATGAGCCTGACGGC</w:t>
            </w:r>
          </w:p>
        </w:tc>
      </w:tr>
      <w:tr w:rsidR="00554DAF" w:rsidRPr="0078646E" w14:paraId="1D4B9B37" w14:textId="77777777" w:rsidTr="00753CD1">
        <w:tc>
          <w:tcPr>
            <w:tcW w:w="2337" w:type="dxa"/>
          </w:tcPr>
          <w:p w14:paraId="54E1CB70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37" w:type="dxa"/>
          </w:tcPr>
          <w:p w14:paraId="75466831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Reverse</w:t>
            </w:r>
          </w:p>
        </w:tc>
        <w:tc>
          <w:tcPr>
            <w:tcW w:w="2953" w:type="dxa"/>
          </w:tcPr>
          <w:p w14:paraId="29181E35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GAGGGGCTTTGGTATCCGCC</w:t>
            </w:r>
          </w:p>
        </w:tc>
      </w:tr>
      <w:tr w:rsidR="00554DAF" w:rsidRPr="0078646E" w14:paraId="5EEDC36A" w14:textId="77777777" w:rsidTr="00753CD1">
        <w:tc>
          <w:tcPr>
            <w:tcW w:w="2337" w:type="dxa"/>
          </w:tcPr>
          <w:p w14:paraId="788E5D27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  <w:i/>
                <w:iCs/>
              </w:rPr>
            </w:pPr>
            <w:r w:rsidRPr="0078646E">
              <w:rPr>
                <w:rFonts w:ascii="Times New Roman" w:hAnsi="Times New Roman" w:cs="Times New Roman"/>
                <w:i/>
                <w:iCs/>
                <w:lang w:val="en-GB"/>
              </w:rPr>
              <w:t>HMGCR</w:t>
            </w:r>
          </w:p>
        </w:tc>
        <w:tc>
          <w:tcPr>
            <w:tcW w:w="2337" w:type="dxa"/>
          </w:tcPr>
          <w:p w14:paraId="089888A6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Forward</w:t>
            </w:r>
          </w:p>
        </w:tc>
        <w:tc>
          <w:tcPr>
            <w:tcW w:w="2953" w:type="dxa"/>
          </w:tcPr>
          <w:p w14:paraId="5EBEF5EF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ACACTTTGGGGAGGCCAACG</w:t>
            </w:r>
          </w:p>
        </w:tc>
      </w:tr>
      <w:tr w:rsidR="00554DAF" w:rsidRPr="0078646E" w14:paraId="2FD98A76" w14:textId="77777777" w:rsidTr="00753CD1">
        <w:tc>
          <w:tcPr>
            <w:tcW w:w="2337" w:type="dxa"/>
          </w:tcPr>
          <w:p w14:paraId="626EA16E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37" w:type="dxa"/>
          </w:tcPr>
          <w:p w14:paraId="4933F6B1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Reverse</w:t>
            </w:r>
          </w:p>
        </w:tc>
        <w:tc>
          <w:tcPr>
            <w:tcW w:w="2953" w:type="dxa"/>
          </w:tcPr>
          <w:p w14:paraId="698BB632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ACATCCACCTCCCGGGTTCA</w:t>
            </w:r>
          </w:p>
        </w:tc>
      </w:tr>
      <w:tr w:rsidR="00554DAF" w:rsidRPr="0078646E" w14:paraId="197DB841" w14:textId="77777777" w:rsidTr="00753CD1">
        <w:tc>
          <w:tcPr>
            <w:tcW w:w="2337" w:type="dxa"/>
          </w:tcPr>
          <w:p w14:paraId="47A192BB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  <w:i/>
                <w:iCs/>
              </w:rPr>
            </w:pPr>
            <w:r w:rsidRPr="0078646E">
              <w:rPr>
                <w:rFonts w:ascii="Times New Roman" w:hAnsi="Times New Roman" w:cs="Times New Roman"/>
                <w:i/>
                <w:iCs/>
                <w:lang w:val="en-GB"/>
              </w:rPr>
              <w:t>GDF15</w:t>
            </w:r>
          </w:p>
        </w:tc>
        <w:tc>
          <w:tcPr>
            <w:tcW w:w="2337" w:type="dxa"/>
          </w:tcPr>
          <w:p w14:paraId="1C86DCD0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Forward</w:t>
            </w:r>
          </w:p>
        </w:tc>
        <w:tc>
          <w:tcPr>
            <w:tcW w:w="2953" w:type="dxa"/>
          </w:tcPr>
          <w:p w14:paraId="7CD1D8F9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TTGTACCAGCCTGAGGGGCT</w:t>
            </w:r>
          </w:p>
        </w:tc>
      </w:tr>
      <w:tr w:rsidR="00554DAF" w:rsidRPr="0078646E" w14:paraId="21C8E1DD" w14:textId="77777777" w:rsidTr="00753CD1">
        <w:tc>
          <w:tcPr>
            <w:tcW w:w="2337" w:type="dxa"/>
          </w:tcPr>
          <w:p w14:paraId="07124964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37" w:type="dxa"/>
          </w:tcPr>
          <w:p w14:paraId="63964882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Reverse</w:t>
            </w:r>
          </w:p>
        </w:tc>
        <w:tc>
          <w:tcPr>
            <w:tcW w:w="2953" w:type="dxa"/>
          </w:tcPr>
          <w:p w14:paraId="1768927F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ACTGCCCAGGCTGCAATGTT</w:t>
            </w:r>
          </w:p>
        </w:tc>
      </w:tr>
      <w:tr w:rsidR="00554DAF" w:rsidRPr="0078646E" w14:paraId="79BCF90F" w14:textId="77777777" w:rsidTr="00753CD1">
        <w:tc>
          <w:tcPr>
            <w:tcW w:w="2337" w:type="dxa"/>
          </w:tcPr>
          <w:p w14:paraId="328D98F4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  <w:i/>
                <w:iCs/>
              </w:rPr>
            </w:pPr>
            <w:r w:rsidRPr="0078646E">
              <w:rPr>
                <w:rFonts w:ascii="Times New Roman" w:hAnsi="Times New Roman" w:cs="Times New Roman"/>
                <w:i/>
                <w:iCs/>
                <w:lang w:val="en-GB"/>
              </w:rPr>
              <w:t>CDKN1A</w:t>
            </w:r>
          </w:p>
        </w:tc>
        <w:tc>
          <w:tcPr>
            <w:tcW w:w="2337" w:type="dxa"/>
          </w:tcPr>
          <w:p w14:paraId="7D318EEC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Forward</w:t>
            </w:r>
          </w:p>
        </w:tc>
        <w:tc>
          <w:tcPr>
            <w:tcW w:w="2953" w:type="dxa"/>
          </w:tcPr>
          <w:p w14:paraId="7144DC1B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GCGGGTGCGGTGATGGATAA</w:t>
            </w:r>
          </w:p>
        </w:tc>
      </w:tr>
      <w:tr w:rsidR="00554DAF" w:rsidRPr="0078646E" w14:paraId="23A27F69" w14:textId="77777777" w:rsidTr="00753CD1">
        <w:tc>
          <w:tcPr>
            <w:tcW w:w="2337" w:type="dxa"/>
          </w:tcPr>
          <w:p w14:paraId="61AB9B06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37" w:type="dxa"/>
          </w:tcPr>
          <w:p w14:paraId="0F6728A6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Reverse</w:t>
            </w:r>
          </w:p>
        </w:tc>
        <w:tc>
          <w:tcPr>
            <w:tcW w:w="2953" w:type="dxa"/>
          </w:tcPr>
          <w:p w14:paraId="038F1843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GTGGGCGGATTAGGGCTTCC</w:t>
            </w:r>
          </w:p>
        </w:tc>
      </w:tr>
      <w:tr w:rsidR="00554DAF" w:rsidRPr="0078646E" w14:paraId="2069448F" w14:textId="77777777" w:rsidTr="00753CD1">
        <w:tc>
          <w:tcPr>
            <w:tcW w:w="2337" w:type="dxa"/>
          </w:tcPr>
          <w:p w14:paraId="2BFE940C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  <w:i/>
                <w:iCs/>
              </w:rPr>
            </w:pPr>
            <w:r w:rsidRPr="0078646E">
              <w:rPr>
                <w:rFonts w:ascii="Times New Roman" w:hAnsi="Times New Roman" w:cs="Times New Roman"/>
                <w:i/>
                <w:iCs/>
                <w:lang w:val="en-GB"/>
              </w:rPr>
              <w:t>SPIDR</w:t>
            </w:r>
          </w:p>
        </w:tc>
        <w:tc>
          <w:tcPr>
            <w:tcW w:w="2337" w:type="dxa"/>
          </w:tcPr>
          <w:p w14:paraId="60824CFA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Forward</w:t>
            </w:r>
          </w:p>
        </w:tc>
        <w:tc>
          <w:tcPr>
            <w:tcW w:w="2953" w:type="dxa"/>
          </w:tcPr>
          <w:p w14:paraId="01CFEAA4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GCCGAGACAGGTGGATCACG</w:t>
            </w:r>
          </w:p>
        </w:tc>
      </w:tr>
      <w:tr w:rsidR="00554DAF" w:rsidRPr="0078646E" w14:paraId="1C2C230A" w14:textId="77777777" w:rsidTr="00753CD1">
        <w:tc>
          <w:tcPr>
            <w:tcW w:w="2337" w:type="dxa"/>
          </w:tcPr>
          <w:p w14:paraId="0177F786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37" w:type="dxa"/>
          </w:tcPr>
          <w:p w14:paraId="725F846D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Reverse</w:t>
            </w:r>
          </w:p>
        </w:tc>
        <w:tc>
          <w:tcPr>
            <w:tcW w:w="2953" w:type="dxa"/>
          </w:tcPr>
          <w:p w14:paraId="55684501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GCACCATCACGCCCGGATAA</w:t>
            </w:r>
          </w:p>
        </w:tc>
      </w:tr>
      <w:tr w:rsidR="00554DAF" w:rsidRPr="0078646E" w14:paraId="25427FF9" w14:textId="77777777" w:rsidTr="00753CD1">
        <w:tc>
          <w:tcPr>
            <w:tcW w:w="2337" w:type="dxa"/>
          </w:tcPr>
          <w:p w14:paraId="6448EAC8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  <w:i/>
                <w:iCs/>
              </w:rPr>
            </w:pPr>
            <w:r w:rsidRPr="0078646E">
              <w:rPr>
                <w:rFonts w:ascii="Times New Roman" w:hAnsi="Times New Roman" w:cs="Times New Roman"/>
                <w:i/>
                <w:iCs/>
                <w:lang w:val="en-GB"/>
              </w:rPr>
              <w:t>GAPDH</w:t>
            </w:r>
          </w:p>
        </w:tc>
        <w:tc>
          <w:tcPr>
            <w:tcW w:w="2337" w:type="dxa"/>
          </w:tcPr>
          <w:p w14:paraId="5C63E4AE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Forward</w:t>
            </w:r>
          </w:p>
        </w:tc>
        <w:tc>
          <w:tcPr>
            <w:tcW w:w="2953" w:type="dxa"/>
          </w:tcPr>
          <w:p w14:paraId="7F48C1DF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GCGGGGCTCTCCAGAACATC</w:t>
            </w:r>
          </w:p>
        </w:tc>
      </w:tr>
      <w:tr w:rsidR="00554DAF" w:rsidRPr="0078646E" w14:paraId="45038135" w14:textId="77777777" w:rsidTr="00753CD1">
        <w:tc>
          <w:tcPr>
            <w:tcW w:w="2337" w:type="dxa"/>
          </w:tcPr>
          <w:p w14:paraId="033445F5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076C7AF5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Reverse</w:t>
            </w:r>
          </w:p>
        </w:tc>
        <w:tc>
          <w:tcPr>
            <w:tcW w:w="2953" w:type="dxa"/>
          </w:tcPr>
          <w:p w14:paraId="67B5D043" w14:textId="77777777" w:rsidR="00554DAF" w:rsidRPr="0078646E" w:rsidRDefault="00554DAF" w:rsidP="0078646E">
            <w:pPr>
              <w:widowControl/>
              <w:rPr>
                <w:rFonts w:ascii="Times New Roman" w:hAnsi="Times New Roman" w:cs="Times New Roman"/>
              </w:rPr>
            </w:pPr>
            <w:r w:rsidRPr="0078646E">
              <w:rPr>
                <w:rFonts w:ascii="Times New Roman" w:hAnsi="Times New Roman" w:cs="Times New Roman"/>
                <w:lang w:val="en-GB"/>
              </w:rPr>
              <w:t>TCCACCACTGACACGTTGGC</w:t>
            </w:r>
          </w:p>
        </w:tc>
      </w:tr>
    </w:tbl>
    <w:p w14:paraId="6B1F47EF" w14:textId="77777777" w:rsidR="0078646E" w:rsidRPr="0078646E" w:rsidRDefault="0078646E" w:rsidP="0078646E">
      <w:pPr>
        <w:widowControl/>
        <w:rPr>
          <w:rFonts w:eastAsia="DengXian" w:cs="Times New Roman"/>
          <w:szCs w:val="24"/>
        </w:rPr>
      </w:pPr>
      <w:r w:rsidRPr="0078646E">
        <w:rPr>
          <w:rFonts w:eastAsia="DengXian" w:cs="Times New Roman"/>
          <w:szCs w:val="24"/>
        </w:rPr>
        <w:br w:type="page"/>
      </w:r>
    </w:p>
    <w:p w14:paraId="0CB4D2C8" w14:textId="77777777" w:rsidR="00F61769" w:rsidRPr="0078646E" w:rsidRDefault="008F145B" w:rsidP="0078646E">
      <w:pPr>
        <w:rPr>
          <w:rFonts w:cs="Times New Roman"/>
          <w:b/>
          <w:bCs/>
          <w:noProof/>
          <w:szCs w:val="24"/>
        </w:rPr>
      </w:pPr>
      <w:r w:rsidRPr="0078646E">
        <w:rPr>
          <w:rFonts w:cs="Times New Roman"/>
          <w:noProof/>
          <w:szCs w:val="24"/>
        </w:rPr>
        <w:lastRenderedPageBreak/>
        <w:drawing>
          <wp:inline distT="0" distB="0" distL="0" distR="0" wp14:anchorId="261D5857" wp14:editId="4ED2C198">
            <wp:extent cx="5274310" cy="1739265"/>
            <wp:effectExtent l="0" t="0" r="2540" b="0"/>
            <wp:docPr id="18714830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7020D" w14:textId="10610FD7" w:rsidR="00BD6F63" w:rsidRPr="0078646E" w:rsidRDefault="0078646E" w:rsidP="0078646E">
      <w:pPr>
        <w:widowControl/>
        <w:rPr>
          <w:rFonts w:eastAsia="DengXian" w:cs="Times New Roman"/>
          <w:szCs w:val="24"/>
          <w:lang w:val="en-GB"/>
        </w:rPr>
      </w:pPr>
      <w:r w:rsidRPr="0078646E">
        <w:rPr>
          <w:rFonts w:eastAsia="DengXian" w:cs="Times New Roman"/>
          <w:b/>
          <w:szCs w:val="24"/>
          <w:lang w:val="en-GB"/>
        </w:rPr>
        <w:t xml:space="preserve">Supplementary </w:t>
      </w:r>
      <w:r w:rsidR="00BD6F63" w:rsidRPr="0078646E">
        <w:rPr>
          <w:rFonts w:eastAsia="DengXian" w:cs="Times New Roman"/>
          <w:b/>
          <w:szCs w:val="24"/>
          <w:lang w:val="en-GB"/>
        </w:rPr>
        <w:t xml:space="preserve">Figure S1. </w:t>
      </w:r>
      <w:r w:rsidR="00BD6F63" w:rsidRPr="0078646E">
        <w:rPr>
          <w:rFonts w:eastAsia="DengXian" w:cs="Times New Roman"/>
          <w:bCs/>
          <w:szCs w:val="24"/>
          <w:lang w:val="en-GB"/>
        </w:rPr>
        <w:t>Effects of VD</w:t>
      </w:r>
      <w:r w:rsidR="006B1E6B" w:rsidRPr="0078646E">
        <w:rPr>
          <w:rFonts w:eastAsia="DengXian" w:cs="Times New Roman"/>
          <w:bCs/>
          <w:szCs w:val="24"/>
          <w:vertAlign w:val="subscript"/>
          <w:lang w:val="en-GB"/>
        </w:rPr>
        <w:t>3</w:t>
      </w:r>
      <w:r w:rsidR="00BD6F63" w:rsidRPr="0078646E">
        <w:rPr>
          <w:rFonts w:eastAsia="DengXian" w:cs="Times New Roman"/>
          <w:bCs/>
          <w:szCs w:val="24"/>
          <w:lang w:val="en-GB"/>
        </w:rPr>
        <w:t xml:space="preserve"> on gastric cancer cell viability.</w:t>
      </w:r>
      <w:r w:rsidR="00BD6F63" w:rsidRPr="0078646E">
        <w:rPr>
          <w:rFonts w:eastAsia="DengXian" w:cs="Times New Roman"/>
          <w:szCs w:val="24"/>
          <w:lang w:val="en-GB"/>
        </w:rPr>
        <w:t xml:space="preserve"> HGC-27, AGS, and MKN-45 cells were treated with increasing concentrations of VD</w:t>
      </w:r>
      <w:r w:rsidR="006B1E6B" w:rsidRPr="0078646E">
        <w:rPr>
          <w:rFonts w:eastAsia="DengXian" w:cs="Times New Roman"/>
          <w:szCs w:val="24"/>
          <w:vertAlign w:val="subscript"/>
          <w:lang w:val="en-GB"/>
        </w:rPr>
        <w:t>3</w:t>
      </w:r>
      <w:r w:rsidR="00BD6F63" w:rsidRPr="0078646E">
        <w:rPr>
          <w:rFonts w:eastAsia="DengXian" w:cs="Times New Roman"/>
          <w:szCs w:val="24"/>
          <w:lang w:val="en-GB"/>
        </w:rPr>
        <w:t xml:space="preserve"> (0, 10, 20, 40, 60, 80, and 100 μM) for 24 h, and cell viability was assessed using the CCK-8 assay. Cell viability was normalized to the untreated control group (0 μM). Data are presented as the mean±SD of three independent experiments. Statistical significance was determined by one-way ANOVA. *</w:t>
      </w:r>
      <w:r w:rsidR="00BD6F63" w:rsidRPr="0078646E">
        <w:rPr>
          <w:rFonts w:eastAsia="DengXian" w:cs="Times New Roman"/>
          <w:iCs/>
          <w:szCs w:val="24"/>
          <w:lang w:val="en-GB"/>
        </w:rPr>
        <w:t>p</w:t>
      </w:r>
      <w:r w:rsidR="00BD6F63" w:rsidRPr="0078646E">
        <w:rPr>
          <w:rFonts w:eastAsia="DengXian" w:cs="Times New Roman"/>
          <w:szCs w:val="24"/>
          <w:lang w:val="en-GB"/>
        </w:rPr>
        <w:t xml:space="preserve"> &lt; 0.05 vs. the untreated control group</w:t>
      </w:r>
    </w:p>
    <w:p w14:paraId="77E65375" w14:textId="2A178F97" w:rsidR="0078646E" w:rsidRPr="0078646E" w:rsidRDefault="0078646E" w:rsidP="0078646E">
      <w:pPr>
        <w:widowControl/>
        <w:rPr>
          <w:rFonts w:cs="Times New Roman"/>
          <w:b/>
          <w:bCs/>
          <w:noProof/>
          <w:szCs w:val="24"/>
          <w:lang w:val="en-GB"/>
        </w:rPr>
      </w:pPr>
      <w:r w:rsidRPr="0078646E">
        <w:rPr>
          <w:rFonts w:cs="Times New Roman"/>
          <w:b/>
          <w:bCs/>
          <w:noProof/>
          <w:szCs w:val="24"/>
          <w:lang w:val="en-GB"/>
        </w:rPr>
        <w:br w:type="page"/>
      </w:r>
    </w:p>
    <w:p w14:paraId="5A1CAC2F" w14:textId="77777777" w:rsidR="004D508A" w:rsidRPr="0078646E" w:rsidRDefault="004D508A" w:rsidP="0078646E">
      <w:pPr>
        <w:rPr>
          <w:rFonts w:cs="Times New Roman"/>
          <w:szCs w:val="24"/>
        </w:rPr>
      </w:pPr>
      <w:r w:rsidRPr="0078646E">
        <w:rPr>
          <w:rFonts w:cs="Times New Roman"/>
          <w:noProof/>
          <w:szCs w:val="24"/>
        </w:rPr>
        <w:lastRenderedPageBreak/>
        <w:drawing>
          <wp:inline distT="0" distB="0" distL="0" distR="0" wp14:anchorId="0659C2B5" wp14:editId="3C8F4F1A">
            <wp:extent cx="5274310" cy="2458085"/>
            <wp:effectExtent l="0" t="0" r="2540" b="0"/>
            <wp:docPr id="6668885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888533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66A82" w14:textId="15DEE13F" w:rsidR="00BD6F63" w:rsidRPr="0078646E" w:rsidRDefault="0078646E" w:rsidP="0078646E">
      <w:pPr>
        <w:widowControl/>
        <w:rPr>
          <w:rFonts w:eastAsia="DengXian" w:cs="Times New Roman"/>
          <w:szCs w:val="24"/>
          <w:lang w:val="en-GB"/>
        </w:rPr>
      </w:pPr>
      <w:r>
        <w:rPr>
          <w:rFonts w:eastAsia="DengXian" w:cs="Times New Roman"/>
          <w:b/>
          <w:szCs w:val="24"/>
          <w:lang w:val="en-GB"/>
        </w:rPr>
        <w:t xml:space="preserve">Supplementary </w:t>
      </w:r>
      <w:r w:rsidR="00BD6F63" w:rsidRPr="0078646E">
        <w:rPr>
          <w:rFonts w:eastAsia="DengXian" w:cs="Times New Roman"/>
          <w:b/>
          <w:szCs w:val="24"/>
          <w:lang w:val="en-GB"/>
        </w:rPr>
        <w:t xml:space="preserve">Figure S2. </w:t>
      </w:r>
      <w:r w:rsidR="00BD6F63" w:rsidRPr="0078646E">
        <w:rPr>
          <w:rFonts w:eastAsia="DengXian" w:cs="Times New Roman"/>
          <w:bCs/>
          <w:szCs w:val="24"/>
          <w:lang w:val="en-GB"/>
        </w:rPr>
        <w:t>Hoechst staining analysis of apoptosis in AGS cells following treatment with DDP and VD</w:t>
      </w:r>
      <w:r w:rsidR="006B1E6B" w:rsidRPr="0078646E">
        <w:rPr>
          <w:rFonts w:eastAsia="DengXian" w:cs="Times New Roman"/>
          <w:bCs/>
          <w:szCs w:val="24"/>
          <w:vertAlign w:val="subscript"/>
          <w:lang w:val="en-GB"/>
        </w:rPr>
        <w:t>3</w:t>
      </w:r>
      <w:r w:rsidR="00BD6F63" w:rsidRPr="0078646E">
        <w:rPr>
          <w:rFonts w:eastAsia="DengXian" w:cs="Times New Roman"/>
          <w:bCs/>
          <w:szCs w:val="24"/>
          <w:lang w:val="en-GB"/>
        </w:rPr>
        <w:t xml:space="preserve">. </w:t>
      </w:r>
      <w:r w:rsidR="00BD6F63" w:rsidRPr="0078646E">
        <w:rPr>
          <w:rFonts w:eastAsia="DengXian" w:cs="Times New Roman"/>
          <w:szCs w:val="24"/>
          <w:lang w:val="en-GB"/>
        </w:rPr>
        <w:t>AGS cells were treated with vehicle control, VD</w:t>
      </w:r>
      <w:r w:rsidR="006B1E6B" w:rsidRPr="0078646E">
        <w:rPr>
          <w:rFonts w:eastAsia="DengXian" w:cs="Times New Roman"/>
          <w:szCs w:val="24"/>
          <w:vertAlign w:val="subscript"/>
          <w:lang w:val="en-GB"/>
        </w:rPr>
        <w:t>3</w:t>
      </w:r>
      <w:r w:rsidR="00BD6F63" w:rsidRPr="0078646E">
        <w:rPr>
          <w:rFonts w:eastAsia="DengXian" w:cs="Times New Roman"/>
          <w:szCs w:val="24"/>
          <w:lang w:val="en-GB"/>
        </w:rPr>
        <w:t>, DDP, or DDP plus VD</w:t>
      </w:r>
      <w:r w:rsidR="006B1E6B" w:rsidRPr="0078646E">
        <w:rPr>
          <w:rFonts w:eastAsia="DengXian" w:cs="Times New Roman"/>
          <w:szCs w:val="24"/>
          <w:vertAlign w:val="subscript"/>
          <w:lang w:val="en-GB"/>
        </w:rPr>
        <w:t>3</w:t>
      </w:r>
      <w:r w:rsidR="00BD6F63" w:rsidRPr="0078646E">
        <w:rPr>
          <w:rFonts w:eastAsia="DengXian" w:cs="Times New Roman"/>
          <w:szCs w:val="24"/>
          <w:lang w:val="en-GB"/>
        </w:rPr>
        <w:t xml:space="preserve"> for 24 h. Apoptosis was assessed by Hoechst staining. Representative fluorescence images and corresponding quantitative analysis are shown. Data are presented as the mean±SD of three independent experiments. Statistical significance was determined by one-way ANOVA. **</w:t>
      </w:r>
      <w:r w:rsidR="00BD6F63" w:rsidRPr="0078646E">
        <w:rPr>
          <w:rFonts w:eastAsia="DengXian" w:cs="Times New Roman"/>
          <w:iCs/>
          <w:szCs w:val="24"/>
          <w:lang w:val="en-GB"/>
        </w:rPr>
        <w:t>p</w:t>
      </w:r>
      <w:r w:rsidR="00BD6F63" w:rsidRPr="0078646E">
        <w:rPr>
          <w:rFonts w:eastAsia="DengXian" w:cs="Times New Roman"/>
          <w:szCs w:val="24"/>
          <w:lang w:val="en-GB"/>
        </w:rPr>
        <w:t xml:space="preserve"> &lt; 0.01 vs. the control group; </w:t>
      </w:r>
      <w:r w:rsidR="00BD6F63" w:rsidRPr="0078646E">
        <w:rPr>
          <w:rFonts w:eastAsia="DengXian" w:cs="Times New Roman"/>
          <w:szCs w:val="24"/>
          <w:vertAlign w:val="superscript"/>
          <w:lang w:val="en-GB"/>
        </w:rPr>
        <w:t>##</w:t>
      </w:r>
      <w:r w:rsidR="00BD6F63" w:rsidRPr="0078646E">
        <w:rPr>
          <w:rFonts w:eastAsia="DengXian" w:cs="Times New Roman"/>
          <w:iCs/>
          <w:szCs w:val="24"/>
          <w:lang w:val="en-GB"/>
        </w:rPr>
        <w:t>p</w:t>
      </w:r>
      <w:r w:rsidR="00BD6F63" w:rsidRPr="0078646E">
        <w:rPr>
          <w:rFonts w:eastAsia="DengXian" w:cs="Times New Roman"/>
          <w:szCs w:val="24"/>
          <w:lang w:val="en-GB"/>
        </w:rPr>
        <w:t xml:space="preserve"> &lt; 0.01 vs. the DDP-treated group</w:t>
      </w:r>
    </w:p>
    <w:p w14:paraId="2630B221" w14:textId="76A96FBD" w:rsidR="0078646E" w:rsidRDefault="0078646E">
      <w:pPr>
        <w:widowControl/>
        <w:jc w:val="left"/>
        <w:rPr>
          <w:rFonts w:eastAsia="DengXian" w:cs="Times New Roman"/>
          <w:szCs w:val="24"/>
          <w:lang w:val="en-GB"/>
        </w:rPr>
      </w:pPr>
      <w:r>
        <w:rPr>
          <w:rFonts w:eastAsia="DengXian" w:cs="Times New Roman"/>
          <w:szCs w:val="24"/>
          <w:lang w:val="en-GB"/>
        </w:rPr>
        <w:br w:type="page"/>
      </w:r>
    </w:p>
    <w:p w14:paraId="352E589B" w14:textId="77777777" w:rsidR="004D508A" w:rsidRPr="0078646E" w:rsidRDefault="004D508A" w:rsidP="0078646E">
      <w:pPr>
        <w:rPr>
          <w:rFonts w:cs="Times New Roman"/>
          <w:b/>
          <w:bCs/>
          <w:szCs w:val="24"/>
        </w:rPr>
      </w:pPr>
      <w:r w:rsidRPr="0078646E">
        <w:rPr>
          <w:rFonts w:cs="Times New Roman"/>
          <w:b/>
          <w:bCs/>
          <w:noProof/>
          <w:szCs w:val="24"/>
        </w:rPr>
        <w:lastRenderedPageBreak/>
        <w:drawing>
          <wp:inline distT="0" distB="0" distL="0" distR="0" wp14:anchorId="60DA7EDF" wp14:editId="39421677">
            <wp:extent cx="5273675" cy="1548765"/>
            <wp:effectExtent l="0" t="0" r="3175" b="0"/>
            <wp:docPr id="8401936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0A0A20" w14:textId="7A02250C" w:rsidR="00F61769" w:rsidRPr="0078646E" w:rsidRDefault="0078646E" w:rsidP="0078646E">
      <w:pPr>
        <w:rPr>
          <w:rFonts w:eastAsia="DengXian" w:cs="Times New Roman"/>
          <w:szCs w:val="24"/>
          <w:lang w:val="en-GB"/>
        </w:rPr>
      </w:pPr>
      <w:r>
        <w:rPr>
          <w:rFonts w:eastAsia="DengXian" w:cs="Times New Roman"/>
          <w:b/>
          <w:szCs w:val="24"/>
          <w:lang w:val="en-GB"/>
        </w:rPr>
        <w:t xml:space="preserve">Supplementary </w:t>
      </w:r>
      <w:r w:rsidR="00BD6F63" w:rsidRPr="0078646E">
        <w:rPr>
          <w:rFonts w:eastAsia="DengXian" w:cs="Times New Roman"/>
          <w:b/>
          <w:szCs w:val="24"/>
          <w:lang w:val="en-GB"/>
        </w:rPr>
        <w:t xml:space="preserve">Figure S3. </w:t>
      </w:r>
      <w:r w:rsidR="00BD6F63" w:rsidRPr="0078646E">
        <w:rPr>
          <w:rFonts w:eastAsia="DengXian" w:cs="Times New Roman"/>
          <w:bCs/>
          <w:szCs w:val="24"/>
          <w:lang w:val="en-GB"/>
        </w:rPr>
        <w:t>Differential gene expression patterns associated with VD</w:t>
      </w:r>
      <w:r w:rsidR="006B1E6B" w:rsidRPr="0078646E">
        <w:rPr>
          <w:rFonts w:eastAsia="DengXian" w:cs="Times New Roman"/>
          <w:bCs/>
          <w:szCs w:val="24"/>
          <w:vertAlign w:val="subscript"/>
          <w:lang w:val="en-GB"/>
        </w:rPr>
        <w:t>3</w:t>
      </w:r>
      <w:r w:rsidR="00BD6F63" w:rsidRPr="0078646E">
        <w:rPr>
          <w:rFonts w:eastAsia="DengXian" w:cs="Times New Roman"/>
          <w:bCs/>
          <w:szCs w:val="24"/>
          <w:lang w:val="en-GB"/>
        </w:rPr>
        <w:t xml:space="preserve"> and DDP treatment in HGC-27 cells.</w:t>
      </w:r>
      <w:r w:rsidR="00BD6F63" w:rsidRPr="0078646E">
        <w:rPr>
          <w:rFonts w:eastAsia="DengXian" w:cs="Times New Roman"/>
          <w:szCs w:val="24"/>
          <w:lang w:val="en-GB"/>
        </w:rPr>
        <w:t xml:space="preserve"> Heatmaps showing the top 30 differentially expressed genes in the Control vs. DDP (A), Control vs. VD</w:t>
      </w:r>
      <w:r w:rsidR="006B1E6B" w:rsidRPr="0078646E">
        <w:rPr>
          <w:rFonts w:eastAsia="DengXian" w:cs="Times New Roman"/>
          <w:szCs w:val="24"/>
          <w:vertAlign w:val="subscript"/>
          <w:lang w:val="en-GB"/>
        </w:rPr>
        <w:t>3</w:t>
      </w:r>
      <w:r w:rsidR="00BD6F63" w:rsidRPr="0078646E">
        <w:rPr>
          <w:rFonts w:eastAsia="DengXian" w:cs="Times New Roman"/>
          <w:szCs w:val="24"/>
          <w:lang w:val="en-GB"/>
        </w:rPr>
        <w:t xml:space="preserve"> (B), Control vs. DDP plus VD</w:t>
      </w:r>
      <w:r w:rsidR="006B1E6B" w:rsidRPr="0078646E">
        <w:rPr>
          <w:rFonts w:eastAsia="DengXian" w:cs="Times New Roman"/>
          <w:szCs w:val="24"/>
          <w:vertAlign w:val="subscript"/>
          <w:lang w:val="en-GB"/>
        </w:rPr>
        <w:t>3</w:t>
      </w:r>
      <w:r w:rsidR="00BD6F63" w:rsidRPr="0078646E">
        <w:rPr>
          <w:rFonts w:eastAsia="DengXian" w:cs="Times New Roman"/>
          <w:szCs w:val="24"/>
          <w:lang w:val="en-GB"/>
        </w:rPr>
        <w:t xml:space="preserve"> (C), and DDP vs. DDP plus VD</w:t>
      </w:r>
      <w:r w:rsidR="006B1E6B" w:rsidRPr="0078646E">
        <w:rPr>
          <w:rFonts w:eastAsia="DengXian" w:cs="Times New Roman"/>
          <w:szCs w:val="24"/>
          <w:vertAlign w:val="subscript"/>
          <w:lang w:val="en-GB"/>
        </w:rPr>
        <w:t>3</w:t>
      </w:r>
      <w:r w:rsidR="00BD6F63" w:rsidRPr="0078646E">
        <w:rPr>
          <w:rFonts w:eastAsia="DengXian" w:cs="Times New Roman"/>
          <w:szCs w:val="24"/>
          <w:lang w:val="en-GB"/>
        </w:rPr>
        <w:t xml:space="preserve"> (D) comparisons.</w:t>
      </w:r>
    </w:p>
    <w:p w14:paraId="723342F7" w14:textId="2ACB89E7" w:rsidR="0078646E" w:rsidRDefault="0078646E">
      <w:pPr>
        <w:widowControl/>
        <w:jc w:val="left"/>
        <w:rPr>
          <w:rFonts w:eastAsia="SimHei" w:cs="Times New Roman"/>
          <w:szCs w:val="24"/>
        </w:rPr>
      </w:pPr>
      <w:r>
        <w:rPr>
          <w:rFonts w:eastAsia="SimHei" w:cs="Times New Roman"/>
          <w:szCs w:val="24"/>
        </w:rPr>
        <w:br w:type="page"/>
      </w:r>
    </w:p>
    <w:p w14:paraId="339CF9AA" w14:textId="77777777" w:rsidR="00F61769" w:rsidRPr="0078646E" w:rsidRDefault="00F61769" w:rsidP="0078646E">
      <w:pPr>
        <w:rPr>
          <w:rFonts w:eastAsia="SimHei" w:cs="Times New Roman"/>
          <w:szCs w:val="24"/>
        </w:rPr>
      </w:pPr>
      <w:r w:rsidRPr="0078646E">
        <w:rPr>
          <w:rFonts w:cs="Times New Roman"/>
          <w:noProof/>
          <w:szCs w:val="24"/>
        </w:rPr>
        <w:lastRenderedPageBreak/>
        <w:drawing>
          <wp:inline distT="0" distB="0" distL="0" distR="0" wp14:anchorId="3764AAD3" wp14:editId="2BFA2118">
            <wp:extent cx="5274310" cy="1850390"/>
            <wp:effectExtent l="0" t="0" r="2540" b="0"/>
            <wp:docPr id="12715546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2B305" w14:textId="79262D54" w:rsidR="00BD6F63" w:rsidRPr="0078646E" w:rsidRDefault="0078646E" w:rsidP="0078646E">
      <w:pPr>
        <w:widowControl/>
        <w:rPr>
          <w:rFonts w:eastAsia="DengXian" w:cs="Times New Roman"/>
          <w:szCs w:val="24"/>
          <w:lang w:val="en-GB"/>
        </w:rPr>
      </w:pPr>
      <w:r>
        <w:rPr>
          <w:rFonts w:eastAsia="DengXian" w:cs="Times New Roman"/>
          <w:b/>
          <w:szCs w:val="24"/>
          <w:lang w:val="en-GB"/>
        </w:rPr>
        <w:t xml:space="preserve">Supplementary </w:t>
      </w:r>
      <w:r w:rsidR="00BD6F63" w:rsidRPr="0078646E">
        <w:rPr>
          <w:rFonts w:eastAsia="DengXian" w:cs="Times New Roman"/>
          <w:b/>
          <w:szCs w:val="24"/>
          <w:lang w:val="en-GB"/>
        </w:rPr>
        <w:t xml:space="preserve">Figure S4. </w:t>
      </w:r>
      <w:r w:rsidR="00BD6F63" w:rsidRPr="0078646E">
        <w:rPr>
          <w:rFonts w:eastAsia="DengXian" w:cs="Times New Roman"/>
          <w:bCs/>
          <w:szCs w:val="24"/>
          <w:lang w:val="en-GB"/>
        </w:rPr>
        <w:t>qRT-PCR validation of representative RNA-</w:t>
      </w:r>
      <w:proofErr w:type="spellStart"/>
      <w:r w:rsidR="00BD6F63" w:rsidRPr="0078646E">
        <w:rPr>
          <w:rFonts w:eastAsia="DengXian" w:cs="Times New Roman"/>
          <w:bCs/>
          <w:szCs w:val="24"/>
          <w:lang w:val="en-GB"/>
        </w:rPr>
        <w:t>seq</w:t>
      </w:r>
      <w:proofErr w:type="spellEnd"/>
      <w:r w:rsidR="00BD6F63" w:rsidRPr="0078646E">
        <w:rPr>
          <w:rFonts w:eastAsia="DengXian" w:cs="Times New Roman"/>
          <w:bCs/>
          <w:szCs w:val="24"/>
          <w:lang w:val="en-GB"/>
        </w:rPr>
        <w:t xml:space="preserve"> genes. </w:t>
      </w:r>
      <w:r w:rsidR="00BD6F63" w:rsidRPr="0078646E">
        <w:rPr>
          <w:rFonts w:eastAsia="DengXian" w:cs="Times New Roman"/>
          <w:szCs w:val="24"/>
          <w:lang w:val="en-GB"/>
        </w:rPr>
        <w:t>Relative mRNA expression levels of CYP24A1, HMGCR, GDF15, CDKN1A, and SPIDR were measured in HGC-27 cells following treatment with vehicle control, VD</w:t>
      </w:r>
      <w:r w:rsidR="006B1E6B" w:rsidRPr="0078646E">
        <w:rPr>
          <w:rFonts w:eastAsia="DengXian" w:cs="Times New Roman"/>
          <w:szCs w:val="24"/>
          <w:vertAlign w:val="subscript"/>
          <w:lang w:val="en-GB"/>
        </w:rPr>
        <w:t>3</w:t>
      </w:r>
      <w:r w:rsidR="00BD6F63" w:rsidRPr="0078646E">
        <w:rPr>
          <w:rFonts w:eastAsia="DengXian" w:cs="Times New Roman"/>
          <w:szCs w:val="24"/>
          <w:lang w:val="en-GB"/>
        </w:rPr>
        <w:t>, DDP, or DDP plus VD</w:t>
      </w:r>
      <w:r w:rsidR="006B1E6B" w:rsidRPr="0078646E">
        <w:rPr>
          <w:rFonts w:eastAsia="DengXian" w:cs="Times New Roman"/>
          <w:szCs w:val="24"/>
          <w:vertAlign w:val="subscript"/>
          <w:lang w:val="en-GB"/>
        </w:rPr>
        <w:t>3</w:t>
      </w:r>
      <w:r w:rsidR="00BD6F63" w:rsidRPr="0078646E">
        <w:rPr>
          <w:rFonts w:eastAsia="DengXian" w:cs="Times New Roman"/>
          <w:szCs w:val="24"/>
          <w:lang w:val="en-GB"/>
        </w:rPr>
        <w:t xml:space="preserve"> for 24 h. GAPDH was used as the internal control. Relative gene expression was calculated using the 2</w:t>
      </w:r>
      <w:r w:rsidR="00BD6F63" w:rsidRPr="0078646E">
        <w:rPr>
          <w:rFonts w:eastAsia="DengXian" w:cs="Times New Roman"/>
          <w:szCs w:val="24"/>
          <w:vertAlign w:val="superscript"/>
          <w:lang w:val="en-GB"/>
        </w:rPr>
        <w:t>−ΔΔCt</w:t>
      </w:r>
      <w:r w:rsidR="00BD6F63" w:rsidRPr="0078646E">
        <w:rPr>
          <w:rFonts w:eastAsia="DengXian" w:cs="Times New Roman"/>
          <w:szCs w:val="24"/>
          <w:lang w:val="en-GB"/>
        </w:rPr>
        <w:t xml:space="preserve"> method and normalized to the control group. Data are presented as the mean±SD of three independent experiments. Statistical significance was determined by one-way ANOVA. ***</w:t>
      </w:r>
      <w:r w:rsidR="00BD6F63" w:rsidRPr="0078646E">
        <w:rPr>
          <w:rFonts w:eastAsia="DengXian" w:cs="Times New Roman"/>
          <w:iCs/>
          <w:szCs w:val="24"/>
          <w:lang w:val="en-GB"/>
        </w:rPr>
        <w:t>p</w:t>
      </w:r>
      <w:r w:rsidR="00BD6F63" w:rsidRPr="0078646E">
        <w:rPr>
          <w:rFonts w:eastAsia="DengXian" w:cs="Times New Roman"/>
          <w:szCs w:val="24"/>
          <w:lang w:val="en-GB"/>
        </w:rPr>
        <w:t xml:space="preserve"> &lt; 0.001 vs. the control group; </w:t>
      </w:r>
      <w:r w:rsidR="00BD6F63" w:rsidRPr="0078646E">
        <w:rPr>
          <w:rFonts w:eastAsia="DengXian" w:cs="Times New Roman"/>
          <w:szCs w:val="24"/>
          <w:vertAlign w:val="superscript"/>
          <w:lang w:val="en-GB"/>
        </w:rPr>
        <w:t>###</w:t>
      </w:r>
      <w:r w:rsidR="00BD6F63" w:rsidRPr="0078646E">
        <w:rPr>
          <w:rFonts w:eastAsia="DengXian" w:cs="Times New Roman"/>
          <w:iCs/>
          <w:szCs w:val="24"/>
          <w:lang w:val="en-GB"/>
        </w:rPr>
        <w:t>p</w:t>
      </w:r>
      <w:r w:rsidR="00BD6F63" w:rsidRPr="0078646E">
        <w:rPr>
          <w:rFonts w:eastAsia="DengXian" w:cs="Times New Roman"/>
          <w:szCs w:val="24"/>
          <w:lang w:val="en-GB"/>
        </w:rPr>
        <w:t xml:space="preserve"> &lt; 0.001 vs. the DDP-treated group</w:t>
      </w:r>
    </w:p>
    <w:p w14:paraId="563A8C80" w14:textId="16EF8ABC" w:rsidR="0078646E" w:rsidRDefault="0078646E">
      <w:pPr>
        <w:widowControl/>
        <w:jc w:val="left"/>
        <w:rPr>
          <w:rFonts w:eastAsia="SimHei" w:cs="Times New Roman"/>
          <w:szCs w:val="24"/>
        </w:rPr>
      </w:pPr>
      <w:r>
        <w:rPr>
          <w:rFonts w:eastAsia="SimHei" w:cs="Times New Roman"/>
          <w:szCs w:val="24"/>
        </w:rPr>
        <w:br w:type="page"/>
      </w:r>
    </w:p>
    <w:p w14:paraId="1F2CE17E" w14:textId="77777777" w:rsidR="004D508A" w:rsidRPr="0078646E" w:rsidRDefault="004D508A" w:rsidP="0078646E">
      <w:pPr>
        <w:rPr>
          <w:rFonts w:eastAsia="SimHei" w:cs="Times New Roman"/>
          <w:szCs w:val="24"/>
        </w:rPr>
      </w:pPr>
      <w:r w:rsidRPr="0078646E">
        <w:rPr>
          <w:rFonts w:eastAsia="SimHei" w:cs="Times New Roman"/>
          <w:noProof/>
          <w:szCs w:val="24"/>
        </w:rPr>
        <w:lastRenderedPageBreak/>
        <w:drawing>
          <wp:inline distT="0" distB="0" distL="0" distR="0" wp14:anchorId="35D4514A" wp14:editId="2D3F46DF">
            <wp:extent cx="5273675" cy="2865120"/>
            <wp:effectExtent l="0" t="0" r="3175" b="0"/>
            <wp:docPr id="8400902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37432" w14:textId="645836CC" w:rsidR="004D508A" w:rsidRPr="0078646E" w:rsidRDefault="00EC42B3" w:rsidP="0078646E">
      <w:pPr>
        <w:widowControl/>
        <w:rPr>
          <w:rFonts w:eastAsia="DengXian" w:cs="Times New Roman"/>
          <w:szCs w:val="24"/>
          <w:lang w:val="en-GB"/>
        </w:rPr>
      </w:pPr>
      <w:r>
        <w:rPr>
          <w:rFonts w:eastAsia="DengXian" w:cs="Times New Roman"/>
          <w:b/>
          <w:szCs w:val="24"/>
          <w:lang w:val="en-GB"/>
        </w:rPr>
        <w:t xml:space="preserve">Supplementary </w:t>
      </w:r>
      <w:r w:rsidR="00BD6F63" w:rsidRPr="0078646E">
        <w:rPr>
          <w:rFonts w:eastAsia="DengXian" w:cs="Times New Roman"/>
          <w:b/>
          <w:szCs w:val="24"/>
          <w:lang w:val="en-GB"/>
        </w:rPr>
        <w:t xml:space="preserve">Figure S5. </w:t>
      </w:r>
      <w:r w:rsidR="00BD6F63" w:rsidRPr="00EC42B3">
        <w:rPr>
          <w:rFonts w:eastAsia="DengXian" w:cs="Times New Roman"/>
          <w:bCs/>
          <w:szCs w:val="24"/>
          <w:lang w:val="en-GB"/>
        </w:rPr>
        <w:t>Protein–protein interaction network analysis of genes whose DDP-induced expression changes were attenuated by VD</w:t>
      </w:r>
      <w:r w:rsidR="006B1E6B" w:rsidRPr="00EC42B3">
        <w:rPr>
          <w:rFonts w:eastAsia="DengXian" w:cs="Times New Roman"/>
          <w:bCs/>
          <w:szCs w:val="24"/>
          <w:vertAlign w:val="subscript"/>
          <w:lang w:val="en-GB"/>
        </w:rPr>
        <w:t>3</w:t>
      </w:r>
      <w:r w:rsidR="00BD6F63" w:rsidRPr="00EC42B3">
        <w:rPr>
          <w:rFonts w:eastAsia="DengXian" w:cs="Times New Roman"/>
          <w:bCs/>
          <w:szCs w:val="24"/>
          <w:lang w:val="en-GB"/>
        </w:rPr>
        <w:t>.</w:t>
      </w:r>
      <w:r w:rsidR="00BD6F63" w:rsidRPr="0078646E">
        <w:rPr>
          <w:rFonts w:eastAsia="DengXian" w:cs="Times New Roman"/>
          <w:szCs w:val="24"/>
          <w:lang w:val="en-GB"/>
        </w:rPr>
        <w:t xml:space="preserve"> A) PPI network constructed using genes that were differentially expressed following DDP treatment but were no longer significantly differentially expressed after co-treatment with VD</w:t>
      </w:r>
      <w:r w:rsidR="006B1E6B" w:rsidRPr="0078646E">
        <w:rPr>
          <w:rFonts w:eastAsia="DengXian" w:cs="Times New Roman"/>
          <w:szCs w:val="24"/>
          <w:vertAlign w:val="subscript"/>
          <w:lang w:val="en-GB"/>
        </w:rPr>
        <w:t>3</w:t>
      </w:r>
      <w:r w:rsidR="00BD6F63" w:rsidRPr="0078646E">
        <w:rPr>
          <w:rFonts w:eastAsia="DengXian" w:cs="Times New Roman"/>
          <w:szCs w:val="24"/>
          <w:lang w:val="en-GB"/>
        </w:rPr>
        <w:t>. B</w:t>
      </w:r>
      <w:r>
        <w:rPr>
          <w:rFonts w:eastAsia="DengXian" w:cs="Times New Roman"/>
          <w:szCs w:val="24"/>
          <w:lang w:val="en-GB"/>
        </w:rPr>
        <w:t>-</w:t>
      </w:r>
      <w:r w:rsidR="00BD6F63" w:rsidRPr="0078646E">
        <w:rPr>
          <w:rFonts w:eastAsia="DengXian" w:cs="Times New Roman"/>
          <w:szCs w:val="24"/>
          <w:lang w:val="en-GB"/>
        </w:rPr>
        <w:t>C) Subnetwork analysis of PPI network genes using the MCODE algorithm (selection threshold: MCODE score &gt; 6). D</w:t>
      </w:r>
      <w:r>
        <w:rPr>
          <w:rFonts w:eastAsia="DengXian" w:cs="Times New Roman"/>
          <w:szCs w:val="24"/>
          <w:lang w:val="en-GB"/>
        </w:rPr>
        <w:t xml:space="preserve">, </w:t>
      </w:r>
      <w:r w:rsidR="00BD6F63" w:rsidRPr="0078646E">
        <w:rPr>
          <w:rFonts w:eastAsia="DengXian" w:cs="Times New Roman"/>
          <w:szCs w:val="24"/>
          <w:lang w:val="en-GB"/>
        </w:rPr>
        <w:t>E) GO and KEGG enrichment analyses of genes within the selected subnetworks.</w:t>
      </w:r>
    </w:p>
    <w:sectPr w:rsidR="004D508A" w:rsidRPr="0078646E" w:rsidSect="0078646E">
      <w:pgSz w:w="11906" w:h="16838"/>
      <w:pgMar w:top="1134" w:right="1134" w:bottom="1134" w:left="1134" w:header="1020" w:footer="102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073BE" w14:textId="77777777" w:rsidR="00471675" w:rsidRDefault="00471675" w:rsidP="004D508A">
      <w:r>
        <w:separator/>
      </w:r>
    </w:p>
  </w:endnote>
  <w:endnote w:type="continuationSeparator" w:id="0">
    <w:p w14:paraId="0FD6EF4A" w14:textId="77777777" w:rsidR="00471675" w:rsidRDefault="00471675" w:rsidP="004D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C7540" w14:textId="77777777" w:rsidR="00471675" w:rsidRDefault="00471675" w:rsidP="004D508A">
      <w:r>
        <w:separator/>
      </w:r>
    </w:p>
  </w:footnote>
  <w:footnote w:type="continuationSeparator" w:id="0">
    <w:p w14:paraId="2259C031" w14:textId="77777777" w:rsidR="00471675" w:rsidRDefault="00471675" w:rsidP="004D5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67"/>
    <w:rsid w:val="00017840"/>
    <w:rsid w:val="0005373E"/>
    <w:rsid w:val="001D04EF"/>
    <w:rsid w:val="001D7994"/>
    <w:rsid w:val="002705D8"/>
    <w:rsid w:val="00462B5A"/>
    <w:rsid w:val="00471675"/>
    <w:rsid w:val="004D508A"/>
    <w:rsid w:val="00554DAF"/>
    <w:rsid w:val="0068131C"/>
    <w:rsid w:val="006B1E6B"/>
    <w:rsid w:val="00753CD1"/>
    <w:rsid w:val="0078646E"/>
    <w:rsid w:val="007C16DD"/>
    <w:rsid w:val="007C6FB6"/>
    <w:rsid w:val="00844AC9"/>
    <w:rsid w:val="008C0A67"/>
    <w:rsid w:val="008D7CA1"/>
    <w:rsid w:val="008F145B"/>
    <w:rsid w:val="00977D3F"/>
    <w:rsid w:val="009B5F94"/>
    <w:rsid w:val="00A11321"/>
    <w:rsid w:val="00A249C2"/>
    <w:rsid w:val="00A46C57"/>
    <w:rsid w:val="00A87BBB"/>
    <w:rsid w:val="00AA581B"/>
    <w:rsid w:val="00B2647C"/>
    <w:rsid w:val="00BD6F63"/>
    <w:rsid w:val="00BF2A91"/>
    <w:rsid w:val="00CF6F6D"/>
    <w:rsid w:val="00D7342E"/>
    <w:rsid w:val="00DC65D6"/>
    <w:rsid w:val="00DD0C7B"/>
    <w:rsid w:val="00EC0E18"/>
    <w:rsid w:val="00EC42B3"/>
    <w:rsid w:val="00F61769"/>
    <w:rsid w:val="00FC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02FD3D"/>
  <w15:docId w15:val="{0F377331-22DC-41BD-A3A5-8CF1F93C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7994"/>
    <w:pPr>
      <w:widowControl w:val="0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8C0A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C0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C0A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C0A6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C0A6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C0A6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C0A6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C0A6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C0A6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0A6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C0A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C0A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C0A67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C0A67"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C0A67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C0A67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C0A67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C0A67"/>
    <w:rPr>
      <w:rFonts w:asciiTheme="minorHAnsi" w:eastAsiaTheme="majorEastAsia" w:hAnsiTheme="minorHAnsi" w:cstheme="majorBidi"/>
      <w:color w:val="595959" w:themeColor="text1" w:themeTint="A6"/>
    </w:rPr>
  </w:style>
  <w:style w:type="paragraph" w:styleId="Nzov">
    <w:name w:val="Title"/>
    <w:basedOn w:val="Normlny"/>
    <w:next w:val="Normlny"/>
    <w:link w:val="NzovChar"/>
    <w:uiPriority w:val="10"/>
    <w:qFormat/>
    <w:rsid w:val="008C0A6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C0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C0A6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C0A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C0A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C0A6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C0A6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C0A6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C0A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C0A6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C0A6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4D50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4D508A"/>
    <w:rPr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4D50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PtaChar">
    <w:name w:val="Päta Char"/>
    <w:basedOn w:val="Predvolenpsmoodseku"/>
    <w:link w:val="Pta"/>
    <w:uiPriority w:val="99"/>
    <w:rsid w:val="004D508A"/>
    <w:rPr>
      <w:sz w:val="18"/>
      <w:szCs w:val="18"/>
    </w:rPr>
  </w:style>
  <w:style w:type="table" w:styleId="Mriekatabuky">
    <w:name w:val="Table Grid"/>
    <w:basedOn w:val="Normlnatabuka"/>
    <w:uiPriority w:val="39"/>
    <w:rsid w:val="00554DAF"/>
    <w:rPr>
      <w:rFonts w:ascii="Calibri" w:eastAsia="DengXian" w:hAnsi="Calibri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53CD1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3C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 lu</dc:creator>
  <cp:keywords/>
  <dc:description/>
  <cp:lastModifiedBy>paulina.gronesova@savba.sk</cp:lastModifiedBy>
  <cp:revision>5</cp:revision>
  <dcterms:created xsi:type="dcterms:W3CDTF">2026-08-13T14:25:00Z</dcterms:created>
  <dcterms:modified xsi:type="dcterms:W3CDTF">2026-08-13T14:29:00Z</dcterms:modified>
</cp:coreProperties>
</file>