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F6EF" w14:textId="3AFDCFB6" w:rsidR="00C81AEE" w:rsidRDefault="00D325AF" w:rsidP="00D325AF">
      <w:pPr>
        <w:spacing w:line="240" w:lineRule="auto"/>
        <w:rPr>
          <w:b/>
          <w:bCs/>
        </w:rPr>
      </w:pPr>
      <w:r>
        <w:rPr>
          <w:b/>
          <w:bCs/>
        </w:rPr>
        <w:t>Supplementary Figure Legends</w:t>
      </w:r>
    </w:p>
    <w:p w14:paraId="09597F8E" w14:textId="77777777" w:rsidR="00D325AF" w:rsidRPr="00D325AF" w:rsidRDefault="00D325AF" w:rsidP="00D325AF">
      <w:pPr>
        <w:spacing w:line="240" w:lineRule="auto"/>
      </w:pPr>
    </w:p>
    <w:p w14:paraId="1139DE67" w14:textId="5E40A16B" w:rsidR="00C81AEE" w:rsidRDefault="00D325AF" w:rsidP="00D325AF">
      <w:pPr>
        <w:spacing w:line="240" w:lineRule="auto"/>
      </w:pPr>
      <w:r w:rsidRPr="00D325AF">
        <w:t>Supplementary</w:t>
      </w:r>
      <w:r w:rsidRPr="00D325AF">
        <w:t xml:space="preserve"> </w:t>
      </w:r>
      <w:r w:rsidR="00C81AEE" w:rsidRPr="00D325AF">
        <w:rPr>
          <w:rFonts w:hint="eastAsia"/>
        </w:rPr>
        <w:t>Figure</w:t>
      </w:r>
      <w:r w:rsidR="00C81AEE" w:rsidRPr="00D325AF">
        <w:t xml:space="preserve"> </w:t>
      </w:r>
      <w:r w:rsidR="00C81AEE" w:rsidRPr="00D325AF">
        <w:rPr>
          <w:rFonts w:hint="eastAsia"/>
        </w:rPr>
        <w:t>S1</w:t>
      </w:r>
      <w:r w:rsidRPr="00D325AF">
        <w:t>.</w:t>
      </w:r>
      <w:r w:rsidR="00C81AEE" w:rsidRPr="00D325AF">
        <w:t xml:space="preserve"> Flow chart for patient selection.</w:t>
      </w:r>
    </w:p>
    <w:p w14:paraId="2A2D3A74" w14:textId="77777777" w:rsidR="00D325AF" w:rsidRPr="00D325AF" w:rsidRDefault="00D325AF" w:rsidP="00D325AF">
      <w:pPr>
        <w:spacing w:line="240" w:lineRule="auto"/>
      </w:pPr>
    </w:p>
    <w:p w14:paraId="473EF98A" w14:textId="36ED1162" w:rsidR="0049423A" w:rsidRDefault="00D325AF" w:rsidP="00D325AF">
      <w:pPr>
        <w:spacing w:line="240" w:lineRule="auto"/>
      </w:pPr>
      <w:r w:rsidRPr="00D325AF">
        <w:t>Supplementary</w:t>
      </w:r>
      <w:r w:rsidRPr="00D325AF">
        <w:t xml:space="preserve"> </w:t>
      </w:r>
      <w:r w:rsidR="0049423A" w:rsidRPr="00D325AF">
        <w:rPr>
          <w:rFonts w:hint="eastAsia"/>
        </w:rPr>
        <w:t>Figure</w:t>
      </w:r>
      <w:r w:rsidR="0049423A" w:rsidRPr="00D325AF">
        <w:t xml:space="preserve"> </w:t>
      </w:r>
      <w:r w:rsidR="0049423A" w:rsidRPr="00D325AF">
        <w:rPr>
          <w:rFonts w:hint="eastAsia"/>
        </w:rPr>
        <w:t>S</w:t>
      </w:r>
      <w:r w:rsidR="00C81AEE" w:rsidRPr="00D325AF">
        <w:t>2</w:t>
      </w:r>
      <w:r w:rsidRPr="00D325AF">
        <w:t>.</w:t>
      </w:r>
      <w:r w:rsidR="0049423A" w:rsidRPr="00D325AF">
        <w:t xml:space="preserve"> </w:t>
      </w:r>
      <w:r w:rsidR="00024613" w:rsidRPr="00D325AF">
        <w:t>A, B) Kaplan-Meier survival analyses comparing overall survival (OS) and progression-free survival (PFS), between CRC patients receiving neoadjuvant chemotherapy with low or high t-CEA expression.</w:t>
      </w:r>
    </w:p>
    <w:p w14:paraId="398F247E" w14:textId="77777777" w:rsidR="00D325AF" w:rsidRPr="00D325AF" w:rsidRDefault="00D325AF" w:rsidP="00D325AF">
      <w:pPr>
        <w:spacing w:line="240" w:lineRule="auto"/>
      </w:pPr>
    </w:p>
    <w:p w14:paraId="37F99951" w14:textId="4DD1D536" w:rsidR="008E4546" w:rsidRDefault="00D325AF" w:rsidP="00D325AF">
      <w:pPr>
        <w:spacing w:line="240" w:lineRule="auto"/>
      </w:pPr>
      <w:r w:rsidRPr="00D325AF">
        <w:t>Supplementary</w:t>
      </w:r>
      <w:r w:rsidRPr="00D325AF">
        <w:t xml:space="preserve"> </w:t>
      </w:r>
      <w:r w:rsidR="00B55665" w:rsidRPr="00D325AF">
        <w:rPr>
          <w:rFonts w:hint="eastAsia"/>
        </w:rPr>
        <w:t>Figure</w:t>
      </w:r>
      <w:r w:rsidR="00B55665" w:rsidRPr="00D325AF">
        <w:t xml:space="preserve"> </w:t>
      </w:r>
      <w:r w:rsidR="00B55665" w:rsidRPr="00D325AF">
        <w:rPr>
          <w:rFonts w:hint="eastAsia"/>
        </w:rPr>
        <w:t>S3</w:t>
      </w:r>
      <w:r w:rsidRPr="00D325AF">
        <w:t>.</w:t>
      </w:r>
      <w:r w:rsidR="00B55665" w:rsidRPr="00D325AF">
        <w:t xml:space="preserve"> A) Dynamic time-dependent area under the curve (AUC) curves for predicting overall survival (OS). B) Dynamic AUC curves for predicting progression-free survival (PFS).</w:t>
      </w:r>
    </w:p>
    <w:p w14:paraId="6783FEC6" w14:textId="77777777" w:rsidR="00D325AF" w:rsidRPr="00D325AF" w:rsidRDefault="00D325AF" w:rsidP="00D325AF">
      <w:pPr>
        <w:spacing w:line="240" w:lineRule="auto"/>
      </w:pPr>
    </w:p>
    <w:p w14:paraId="7A197574" w14:textId="2236B281" w:rsidR="0033791D" w:rsidRDefault="00D325AF" w:rsidP="00D325AF">
      <w:pPr>
        <w:spacing w:line="240" w:lineRule="auto"/>
      </w:pPr>
      <w:r w:rsidRPr="00D325AF">
        <w:t>Supplementary</w:t>
      </w:r>
      <w:r w:rsidRPr="00D325AF">
        <w:t xml:space="preserve"> </w:t>
      </w:r>
      <w:r w:rsidR="0033791D" w:rsidRPr="00D325AF">
        <w:rPr>
          <w:rFonts w:hint="eastAsia"/>
        </w:rPr>
        <w:t>Figure</w:t>
      </w:r>
      <w:r w:rsidR="0033791D" w:rsidRPr="00D325AF">
        <w:t xml:space="preserve"> </w:t>
      </w:r>
      <w:r w:rsidR="0033791D" w:rsidRPr="00D325AF">
        <w:rPr>
          <w:rFonts w:hint="eastAsia"/>
        </w:rPr>
        <w:t>S4</w:t>
      </w:r>
      <w:r w:rsidRPr="00D325AF">
        <w:t>.</w:t>
      </w:r>
      <w:r w:rsidR="0033791D" w:rsidRPr="00D325AF">
        <w:t xml:space="preserve"> Forest plots of</w:t>
      </w:r>
      <w:r w:rsidR="0033791D" w:rsidRPr="00D325AF">
        <w:rPr>
          <w:rFonts w:hint="eastAsia"/>
        </w:rPr>
        <w:t xml:space="preserve"> </w:t>
      </w:r>
      <w:r w:rsidR="0033791D" w:rsidRPr="00D325AF">
        <w:t>univariate analyses</w:t>
      </w:r>
      <w:r w:rsidR="0033791D" w:rsidRPr="00D325AF">
        <w:rPr>
          <w:rFonts w:hint="eastAsia"/>
        </w:rPr>
        <w:t xml:space="preserve"> </w:t>
      </w:r>
      <w:r w:rsidR="0033791D" w:rsidRPr="00D325AF">
        <w:t xml:space="preserve">for </w:t>
      </w:r>
      <w:r w:rsidR="0033791D" w:rsidRPr="00D325AF">
        <w:rPr>
          <w:rFonts w:hint="eastAsia"/>
        </w:rPr>
        <w:t>O</w:t>
      </w:r>
      <w:r w:rsidR="0033791D" w:rsidRPr="00D325AF">
        <w:t xml:space="preserve">S (A) and </w:t>
      </w:r>
      <w:r w:rsidR="0033791D" w:rsidRPr="00D325AF">
        <w:rPr>
          <w:rFonts w:hint="eastAsia"/>
        </w:rPr>
        <w:t>PFS</w:t>
      </w:r>
      <w:r w:rsidR="0033791D" w:rsidRPr="00D325AF">
        <w:t xml:space="preserve"> (B) in CRC. LNM, lymph node metastasis; NAC, neoadjuvant chemotherapy</w:t>
      </w:r>
      <w:r w:rsidR="0033791D" w:rsidRPr="00D325AF">
        <w:rPr>
          <w:rFonts w:hint="eastAsia"/>
        </w:rPr>
        <w:t>.</w:t>
      </w:r>
    </w:p>
    <w:p w14:paraId="7AA119C5" w14:textId="77777777" w:rsidR="00D325AF" w:rsidRPr="00D325AF" w:rsidRDefault="00D325AF" w:rsidP="00D325AF">
      <w:pPr>
        <w:spacing w:line="240" w:lineRule="auto"/>
      </w:pPr>
    </w:p>
    <w:p w14:paraId="0ABDDCAC" w14:textId="361DF92D" w:rsidR="008E4546" w:rsidRPr="00D325AF" w:rsidRDefault="00D325AF" w:rsidP="00D325AF">
      <w:pPr>
        <w:spacing w:line="240" w:lineRule="auto"/>
      </w:pPr>
      <w:r w:rsidRPr="00D325AF">
        <w:t>Supplementary</w:t>
      </w:r>
      <w:r w:rsidRPr="00D325AF">
        <w:t xml:space="preserve"> </w:t>
      </w:r>
      <w:r w:rsidR="008E4546" w:rsidRPr="00D325AF">
        <w:t>Figure S</w:t>
      </w:r>
      <w:r w:rsidR="0033791D" w:rsidRPr="00D325AF">
        <w:rPr>
          <w:rFonts w:hint="eastAsia"/>
        </w:rPr>
        <w:t>5</w:t>
      </w:r>
      <w:r w:rsidRPr="00D325AF">
        <w:t xml:space="preserve">. </w:t>
      </w:r>
      <w:r w:rsidR="008E4546" w:rsidRPr="00D325AF">
        <w:t xml:space="preserve">Long-term </w:t>
      </w:r>
      <w:r w:rsidR="008E4546" w:rsidRPr="00D325AF">
        <w:rPr>
          <w:rFonts w:hint="eastAsia"/>
        </w:rPr>
        <w:t>c</w:t>
      </w:r>
      <w:r w:rsidR="008E4546" w:rsidRPr="00D325AF">
        <w:t>omparative DCA curves verifying the 5-year clinical net benefit of the constructed nomogram model (blue line) versus the TNM staging system alone (purple line) for OS</w:t>
      </w:r>
      <w:r w:rsidR="008E4546" w:rsidRPr="00D325AF">
        <w:rPr>
          <w:rFonts w:hint="eastAsia"/>
        </w:rPr>
        <w:t xml:space="preserve"> (A)</w:t>
      </w:r>
      <w:r w:rsidR="008E4546" w:rsidRPr="00D325AF">
        <w:t xml:space="preserve"> and PFS</w:t>
      </w:r>
      <w:r w:rsidR="008E4546" w:rsidRPr="00D325AF">
        <w:rPr>
          <w:rFonts w:hint="eastAsia"/>
        </w:rPr>
        <w:t xml:space="preserve"> (B)</w:t>
      </w:r>
      <w:r w:rsidR="008E4546" w:rsidRPr="00D325AF">
        <w:t>.</w:t>
      </w:r>
    </w:p>
    <w:p w14:paraId="72AF8C84" w14:textId="2026C770" w:rsidR="00525065" w:rsidRPr="00D325AF" w:rsidRDefault="00525065" w:rsidP="00D325AF">
      <w:pPr>
        <w:spacing w:line="240" w:lineRule="auto"/>
        <w:rPr>
          <w:b/>
          <w:bCs/>
        </w:rPr>
      </w:pPr>
      <w:r w:rsidRPr="00D325AF">
        <w:rPr>
          <w:b/>
          <w:bCs/>
        </w:rPr>
        <w:br w:type="page"/>
      </w:r>
    </w:p>
    <w:p w14:paraId="4EC8AF79" w14:textId="04332374" w:rsidR="002468C7" w:rsidRPr="00D325AF" w:rsidRDefault="00D325AF" w:rsidP="00D325AF">
      <w:pPr>
        <w:spacing w:line="240" w:lineRule="auto"/>
      </w:pPr>
      <w:r>
        <w:rPr>
          <w:b/>
          <w:bCs/>
        </w:rPr>
        <w:lastRenderedPageBreak/>
        <w:t>Supplementary</w:t>
      </w:r>
      <w:r w:rsidRPr="00D325AF">
        <w:rPr>
          <w:b/>
          <w:bCs/>
        </w:rPr>
        <w:t xml:space="preserve"> </w:t>
      </w:r>
      <w:r w:rsidR="00C11400" w:rsidRPr="00D325AF">
        <w:rPr>
          <w:b/>
          <w:bCs/>
        </w:rPr>
        <w:t>Table S1</w:t>
      </w:r>
      <w:r>
        <w:rPr>
          <w:b/>
          <w:bCs/>
        </w:rPr>
        <w:t>.</w:t>
      </w:r>
      <w:r w:rsidR="00C11400" w:rsidRPr="00D325AF">
        <w:rPr>
          <w:b/>
          <w:bCs/>
        </w:rPr>
        <w:t xml:space="preserve"> </w:t>
      </w:r>
      <w:r w:rsidR="002468C7" w:rsidRPr="00D325AF">
        <w:t>Clinicopathological characteristics of the enrolled patients.</w:t>
      </w:r>
    </w:p>
    <w:tbl>
      <w:tblPr>
        <w:tblW w:w="10129" w:type="dxa"/>
        <w:tblBorders>
          <w:top w:val="single" w:sz="4" w:space="0" w:color="auto"/>
          <w:bottom w:val="single" w:sz="4" w:space="0" w:color="auto"/>
        </w:tblBorders>
        <w:tblLook w:val="04A0" w:firstRow="1" w:lastRow="0" w:firstColumn="1" w:lastColumn="0" w:noHBand="0" w:noVBand="1"/>
      </w:tblPr>
      <w:tblGrid>
        <w:gridCol w:w="1829"/>
        <w:gridCol w:w="1222"/>
        <w:gridCol w:w="1321"/>
        <w:gridCol w:w="1937"/>
        <w:gridCol w:w="1038"/>
        <w:gridCol w:w="1744"/>
        <w:gridCol w:w="1038"/>
      </w:tblGrid>
      <w:tr w:rsidR="005C3BDD" w:rsidRPr="00D325AF" w14:paraId="37BEE3F0" w14:textId="77777777" w:rsidTr="005C3BDD">
        <w:trPr>
          <w:trHeight w:val="223"/>
        </w:trPr>
        <w:tc>
          <w:tcPr>
            <w:tcW w:w="0" w:type="auto"/>
            <w:tcBorders>
              <w:top w:val="single" w:sz="4" w:space="0" w:color="auto"/>
              <w:bottom w:val="nil"/>
            </w:tcBorders>
            <w:noWrap/>
            <w:vAlign w:val="bottom"/>
          </w:tcPr>
          <w:p w14:paraId="54869A88" w14:textId="77777777" w:rsidR="005C3BDD" w:rsidRPr="00D325AF" w:rsidRDefault="005C3BDD" w:rsidP="00D325AF">
            <w:pPr>
              <w:spacing w:line="240" w:lineRule="auto"/>
              <w:rPr>
                <w:b/>
                <w:bCs/>
                <w:sz w:val="18"/>
                <w:szCs w:val="18"/>
              </w:rPr>
            </w:pPr>
          </w:p>
        </w:tc>
        <w:tc>
          <w:tcPr>
            <w:tcW w:w="0" w:type="auto"/>
            <w:tcBorders>
              <w:top w:val="single" w:sz="4" w:space="0" w:color="auto"/>
              <w:bottom w:val="nil"/>
            </w:tcBorders>
            <w:noWrap/>
            <w:vAlign w:val="bottom"/>
          </w:tcPr>
          <w:p w14:paraId="4AE32D78" w14:textId="77777777" w:rsidR="005C3BDD" w:rsidRPr="00D325AF" w:rsidRDefault="005C3BDD" w:rsidP="00D325AF">
            <w:pPr>
              <w:spacing w:line="240" w:lineRule="auto"/>
              <w:rPr>
                <w:b/>
                <w:bCs/>
                <w:sz w:val="18"/>
                <w:szCs w:val="18"/>
              </w:rPr>
            </w:pPr>
          </w:p>
        </w:tc>
        <w:tc>
          <w:tcPr>
            <w:tcW w:w="0" w:type="auto"/>
            <w:tcBorders>
              <w:top w:val="single" w:sz="4" w:space="0" w:color="auto"/>
              <w:bottom w:val="nil"/>
            </w:tcBorders>
            <w:noWrap/>
            <w:vAlign w:val="bottom"/>
          </w:tcPr>
          <w:p w14:paraId="08543B2D" w14:textId="77777777" w:rsidR="005C3BDD" w:rsidRPr="00D325AF" w:rsidRDefault="005C3BDD" w:rsidP="00D325AF">
            <w:pPr>
              <w:spacing w:line="240" w:lineRule="auto"/>
              <w:rPr>
                <w:b/>
                <w:bCs/>
                <w:sz w:val="18"/>
                <w:szCs w:val="18"/>
              </w:rPr>
            </w:pPr>
          </w:p>
        </w:tc>
        <w:tc>
          <w:tcPr>
            <w:tcW w:w="0" w:type="auto"/>
            <w:tcBorders>
              <w:top w:val="single" w:sz="4" w:space="0" w:color="auto"/>
              <w:bottom w:val="single" w:sz="4" w:space="0" w:color="auto"/>
            </w:tcBorders>
            <w:noWrap/>
            <w:vAlign w:val="bottom"/>
          </w:tcPr>
          <w:p w14:paraId="226ED403" w14:textId="5C2FD068" w:rsidR="005C3BDD" w:rsidRPr="00D325AF" w:rsidRDefault="005C3BDD" w:rsidP="00D325AF">
            <w:pPr>
              <w:spacing w:line="240" w:lineRule="auto"/>
              <w:rPr>
                <w:b/>
                <w:bCs/>
                <w:sz w:val="18"/>
                <w:szCs w:val="18"/>
              </w:rPr>
            </w:pPr>
            <w:r w:rsidRPr="00D325AF">
              <w:rPr>
                <w:b/>
                <w:bCs/>
                <w:sz w:val="18"/>
                <w:szCs w:val="18"/>
              </w:rPr>
              <w:t>t-CEA (H-score)</w:t>
            </w:r>
          </w:p>
        </w:tc>
        <w:tc>
          <w:tcPr>
            <w:tcW w:w="0" w:type="auto"/>
            <w:tcBorders>
              <w:top w:val="single" w:sz="4" w:space="0" w:color="auto"/>
              <w:bottom w:val="single" w:sz="4" w:space="0" w:color="auto"/>
            </w:tcBorders>
            <w:vAlign w:val="bottom"/>
          </w:tcPr>
          <w:p w14:paraId="10C84671" w14:textId="77777777" w:rsidR="005C3BDD" w:rsidRPr="00D325AF" w:rsidRDefault="005C3BDD" w:rsidP="00D325AF">
            <w:pPr>
              <w:spacing w:line="240" w:lineRule="auto"/>
              <w:rPr>
                <w:b/>
                <w:bCs/>
                <w:i/>
                <w:iCs/>
                <w:sz w:val="18"/>
                <w:szCs w:val="18"/>
              </w:rPr>
            </w:pPr>
          </w:p>
        </w:tc>
        <w:tc>
          <w:tcPr>
            <w:tcW w:w="0" w:type="auto"/>
            <w:tcBorders>
              <w:top w:val="single" w:sz="4" w:space="0" w:color="auto"/>
              <w:bottom w:val="single" w:sz="4" w:space="0" w:color="auto"/>
            </w:tcBorders>
            <w:noWrap/>
            <w:vAlign w:val="bottom"/>
          </w:tcPr>
          <w:p w14:paraId="6E431E3C" w14:textId="3FB0325D" w:rsidR="005C3BDD" w:rsidRPr="00D325AF" w:rsidRDefault="005C3BDD" w:rsidP="00D325AF">
            <w:pPr>
              <w:spacing w:line="240" w:lineRule="auto"/>
              <w:rPr>
                <w:b/>
                <w:bCs/>
                <w:sz w:val="18"/>
                <w:szCs w:val="18"/>
              </w:rPr>
            </w:pPr>
            <w:r w:rsidRPr="00D325AF">
              <w:rPr>
                <w:b/>
                <w:bCs/>
                <w:sz w:val="18"/>
                <w:szCs w:val="18"/>
              </w:rPr>
              <w:t>s-CEA (ng/m</w:t>
            </w:r>
            <w:r w:rsidR="00257E2E">
              <w:rPr>
                <w:b/>
                <w:bCs/>
                <w:sz w:val="18"/>
                <w:szCs w:val="18"/>
              </w:rPr>
              <w:t>l</w:t>
            </w:r>
            <w:r w:rsidRPr="00D325AF">
              <w:rPr>
                <w:b/>
                <w:bCs/>
                <w:sz w:val="18"/>
                <w:szCs w:val="18"/>
              </w:rPr>
              <w:t xml:space="preserve">) </w:t>
            </w:r>
          </w:p>
        </w:tc>
        <w:tc>
          <w:tcPr>
            <w:tcW w:w="0" w:type="auto"/>
            <w:tcBorders>
              <w:top w:val="single" w:sz="4" w:space="0" w:color="auto"/>
              <w:bottom w:val="single" w:sz="4" w:space="0" w:color="auto"/>
            </w:tcBorders>
            <w:vAlign w:val="bottom"/>
          </w:tcPr>
          <w:p w14:paraId="1FEBE50D" w14:textId="77777777" w:rsidR="005C3BDD" w:rsidRPr="00D325AF" w:rsidRDefault="005C3BDD" w:rsidP="00D325AF">
            <w:pPr>
              <w:spacing w:line="240" w:lineRule="auto"/>
              <w:rPr>
                <w:b/>
                <w:bCs/>
                <w:i/>
                <w:iCs/>
                <w:sz w:val="18"/>
                <w:szCs w:val="18"/>
              </w:rPr>
            </w:pPr>
          </w:p>
        </w:tc>
      </w:tr>
      <w:tr w:rsidR="00A15BC1" w:rsidRPr="00D325AF" w14:paraId="2E08A65E" w14:textId="77777777" w:rsidTr="005C3BDD">
        <w:trPr>
          <w:trHeight w:val="223"/>
        </w:trPr>
        <w:tc>
          <w:tcPr>
            <w:tcW w:w="0" w:type="auto"/>
            <w:tcBorders>
              <w:top w:val="nil"/>
              <w:bottom w:val="single" w:sz="4" w:space="0" w:color="auto"/>
            </w:tcBorders>
            <w:noWrap/>
            <w:vAlign w:val="bottom"/>
            <w:hideMark/>
          </w:tcPr>
          <w:p w14:paraId="0400A25B" w14:textId="77777777" w:rsidR="00A15BC1" w:rsidRPr="00D325AF" w:rsidRDefault="00A15BC1" w:rsidP="00D325AF">
            <w:pPr>
              <w:spacing w:line="240" w:lineRule="auto"/>
              <w:rPr>
                <w:b/>
                <w:bCs/>
                <w:sz w:val="18"/>
                <w:szCs w:val="18"/>
              </w:rPr>
            </w:pPr>
            <w:r w:rsidRPr="00D325AF">
              <w:rPr>
                <w:b/>
                <w:bCs/>
                <w:sz w:val="18"/>
                <w:szCs w:val="18"/>
              </w:rPr>
              <w:t>Characteristics</w:t>
            </w:r>
          </w:p>
        </w:tc>
        <w:tc>
          <w:tcPr>
            <w:tcW w:w="0" w:type="auto"/>
            <w:tcBorders>
              <w:top w:val="nil"/>
              <w:bottom w:val="single" w:sz="4" w:space="0" w:color="auto"/>
            </w:tcBorders>
            <w:noWrap/>
            <w:vAlign w:val="bottom"/>
            <w:hideMark/>
          </w:tcPr>
          <w:p w14:paraId="27613807" w14:textId="2F91C483" w:rsidR="00A15BC1" w:rsidRPr="00D325AF" w:rsidRDefault="00A15BC1" w:rsidP="00D325AF">
            <w:pPr>
              <w:spacing w:line="240" w:lineRule="auto"/>
              <w:rPr>
                <w:b/>
                <w:bCs/>
                <w:sz w:val="18"/>
                <w:szCs w:val="18"/>
              </w:rPr>
            </w:pPr>
            <w:r w:rsidRPr="00D325AF">
              <w:rPr>
                <w:b/>
                <w:bCs/>
                <w:sz w:val="18"/>
                <w:szCs w:val="18"/>
              </w:rPr>
              <w:t>Category</w:t>
            </w:r>
          </w:p>
        </w:tc>
        <w:tc>
          <w:tcPr>
            <w:tcW w:w="0" w:type="auto"/>
            <w:tcBorders>
              <w:top w:val="nil"/>
              <w:bottom w:val="single" w:sz="4" w:space="0" w:color="auto"/>
            </w:tcBorders>
            <w:noWrap/>
            <w:vAlign w:val="bottom"/>
            <w:hideMark/>
          </w:tcPr>
          <w:p w14:paraId="57AF3C82" w14:textId="282732C3" w:rsidR="00A15BC1" w:rsidRPr="00D325AF" w:rsidRDefault="00A15BC1" w:rsidP="00D325AF">
            <w:pPr>
              <w:spacing w:line="240" w:lineRule="auto"/>
              <w:rPr>
                <w:b/>
                <w:bCs/>
                <w:sz w:val="18"/>
                <w:szCs w:val="18"/>
              </w:rPr>
            </w:pPr>
            <w:r w:rsidRPr="00D325AF">
              <w:rPr>
                <w:b/>
                <w:bCs/>
                <w:sz w:val="18"/>
                <w:szCs w:val="18"/>
              </w:rPr>
              <w:t>Cases</w:t>
            </w:r>
            <w:r w:rsidRPr="00D325AF">
              <w:rPr>
                <w:rFonts w:hint="eastAsia"/>
                <w:b/>
                <w:bCs/>
                <w:sz w:val="18"/>
                <w:szCs w:val="18"/>
              </w:rPr>
              <w:t xml:space="preserve"> (%)</w:t>
            </w:r>
          </w:p>
        </w:tc>
        <w:tc>
          <w:tcPr>
            <w:tcW w:w="0" w:type="auto"/>
            <w:tcBorders>
              <w:top w:val="single" w:sz="4" w:space="0" w:color="auto"/>
              <w:bottom w:val="single" w:sz="4" w:space="0" w:color="auto"/>
            </w:tcBorders>
            <w:noWrap/>
            <w:vAlign w:val="bottom"/>
            <w:hideMark/>
          </w:tcPr>
          <w:p w14:paraId="78B12A81" w14:textId="061E73E3" w:rsidR="00A15BC1" w:rsidRPr="00D325AF" w:rsidRDefault="00A15BC1" w:rsidP="00D325AF">
            <w:pPr>
              <w:spacing w:line="240" w:lineRule="auto"/>
              <w:rPr>
                <w:b/>
                <w:bCs/>
                <w:sz w:val="18"/>
                <w:szCs w:val="18"/>
              </w:rPr>
            </w:pPr>
            <w:r w:rsidRPr="00D325AF">
              <w:rPr>
                <w:b/>
                <w:bCs/>
                <w:sz w:val="18"/>
                <w:szCs w:val="18"/>
              </w:rPr>
              <w:t>Mean</w:t>
            </w:r>
            <w:r w:rsidR="00BA6102">
              <w:rPr>
                <w:b/>
                <w:bCs/>
                <w:sz w:val="18"/>
                <w:szCs w:val="18"/>
              </w:rPr>
              <w:t>±</w:t>
            </w:r>
            <w:r w:rsidRPr="00D325AF">
              <w:rPr>
                <w:b/>
                <w:bCs/>
                <w:sz w:val="18"/>
                <w:szCs w:val="18"/>
              </w:rPr>
              <w:t>SD</w:t>
            </w:r>
          </w:p>
        </w:tc>
        <w:tc>
          <w:tcPr>
            <w:tcW w:w="0" w:type="auto"/>
            <w:tcBorders>
              <w:top w:val="single" w:sz="4" w:space="0" w:color="auto"/>
              <w:bottom w:val="single" w:sz="4" w:space="0" w:color="auto"/>
            </w:tcBorders>
            <w:vAlign w:val="bottom"/>
            <w:hideMark/>
          </w:tcPr>
          <w:p w14:paraId="25A82E72" w14:textId="7AC76E0E" w:rsidR="00A15BC1" w:rsidRPr="00D325AF" w:rsidRDefault="00BA6102" w:rsidP="00D325AF">
            <w:pPr>
              <w:spacing w:line="240" w:lineRule="auto"/>
              <w:rPr>
                <w:b/>
                <w:bCs/>
                <w:sz w:val="18"/>
                <w:szCs w:val="18"/>
              </w:rPr>
            </w:pPr>
            <w:r>
              <w:rPr>
                <w:b/>
                <w:bCs/>
                <w:sz w:val="18"/>
                <w:szCs w:val="18"/>
              </w:rPr>
              <w:t>p</w:t>
            </w:r>
            <w:r w:rsidR="00A15BC1" w:rsidRPr="00D325AF">
              <w:rPr>
                <w:b/>
                <w:bCs/>
                <w:sz w:val="18"/>
                <w:szCs w:val="18"/>
              </w:rPr>
              <w:t>-value</w:t>
            </w:r>
          </w:p>
        </w:tc>
        <w:tc>
          <w:tcPr>
            <w:tcW w:w="0" w:type="auto"/>
            <w:tcBorders>
              <w:top w:val="single" w:sz="4" w:space="0" w:color="auto"/>
              <w:bottom w:val="single" w:sz="4" w:space="0" w:color="auto"/>
            </w:tcBorders>
            <w:noWrap/>
            <w:vAlign w:val="bottom"/>
            <w:hideMark/>
          </w:tcPr>
          <w:p w14:paraId="400AA27B" w14:textId="6BF655B4" w:rsidR="00A15BC1" w:rsidRPr="00D325AF" w:rsidRDefault="00A15BC1" w:rsidP="00D325AF">
            <w:pPr>
              <w:spacing w:line="240" w:lineRule="auto"/>
              <w:rPr>
                <w:b/>
                <w:bCs/>
                <w:sz w:val="18"/>
                <w:szCs w:val="18"/>
              </w:rPr>
            </w:pPr>
            <w:r w:rsidRPr="00D325AF">
              <w:rPr>
                <w:b/>
                <w:bCs/>
                <w:sz w:val="18"/>
                <w:szCs w:val="18"/>
              </w:rPr>
              <w:t>Median (IQR)</w:t>
            </w:r>
          </w:p>
        </w:tc>
        <w:tc>
          <w:tcPr>
            <w:tcW w:w="0" w:type="auto"/>
            <w:tcBorders>
              <w:top w:val="single" w:sz="4" w:space="0" w:color="auto"/>
              <w:bottom w:val="single" w:sz="4" w:space="0" w:color="auto"/>
            </w:tcBorders>
            <w:vAlign w:val="bottom"/>
            <w:hideMark/>
          </w:tcPr>
          <w:p w14:paraId="1A82FBF5" w14:textId="45D48DD1" w:rsidR="00A15BC1" w:rsidRPr="00D325AF" w:rsidRDefault="00BA6102" w:rsidP="00D325AF">
            <w:pPr>
              <w:spacing w:line="240" w:lineRule="auto"/>
              <w:rPr>
                <w:b/>
                <w:bCs/>
                <w:sz w:val="18"/>
                <w:szCs w:val="18"/>
              </w:rPr>
            </w:pPr>
            <w:r>
              <w:rPr>
                <w:b/>
                <w:bCs/>
                <w:sz w:val="18"/>
                <w:szCs w:val="18"/>
              </w:rPr>
              <w:t>p</w:t>
            </w:r>
            <w:r w:rsidR="00A15BC1" w:rsidRPr="00D325AF">
              <w:rPr>
                <w:b/>
                <w:bCs/>
                <w:sz w:val="18"/>
                <w:szCs w:val="18"/>
              </w:rPr>
              <w:t>-value</w:t>
            </w:r>
          </w:p>
        </w:tc>
      </w:tr>
      <w:tr w:rsidR="00A15BC1" w:rsidRPr="00D325AF" w14:paraId="1B60AFA8" w14:textId="77777777" w:rsidTr="005C3BDD">
        <w:trPr>
          <w:trHeight w:val="223"/>
        </w:trPr>
        <w:tc>
          <w:tcPr>
            <w:tcW w:w="0" w:type="auto"/>
            <w:tcBorders>
              <w:top w:val="single" w:sz="4" w:space="0" w:color="auto"/>
            </w:tcBorders>
            <w:noWrap/>
            <w:vAlign w:val="bottom"/>
            <w:hideMark/>
          </w:tcPr>
          <w:p w14:paraId="1CE33F1D" w14:textId="77777777" w:rsidR="00A15BC1" w:rsidRPr="00D325AF" w:rsidRDefault="00A15BC1" w:rsidP="00D325AF">
            <w:pPr>
              <w:spacing w:line="240" w:lineRule="auto"/>
              <w:rPr>
                <w:sz w:val="18"/>
                <w:szCs w:val="18"/>
              </w:rPr>
            </w:pPr>
            <w:r w:rsidRPr="00D325AF">
              <w:rPr>
                <w:sz w:val="18"/>
                <w:szCs w:val="18"/>
              </w:rPr>
              <w:t>Age (years)</w:t>
            </w:r>
          </w:p>
        </w:tc>
        <w:tc>
          <w:tcPr>
            <w:tcW w:w="0" w:type="auto"/>
            <w:tcBorders>
              <w:top w:val="single" w:sz="4" w:space="0" w:color="auto"/>
            </w:tcBorders>
            <w:noWrap/>
            <w:vAlign w:val="bottom"/>
            <w:hideMark/>
          </w:tcPr>
          <w:p w14:paraId="54F902A4" w14:textId="77777777" w:rsidR="00A15BC1" w:rsidRPr="00D325AF" w:rsidRDefault="00A15BC1" w:rsidP="00D325AF">
            <w:pPr>
              <w:spacing w:line="240" w:lineRule="auto"/>
              <w:rPr>
                <w:sz w:val="18"/>
                <w:szCs w:val="18"/>
              </w:rPr>
            </w:pPr>
            <w:r w:rsidRPr="00D325AF">
              <w:rPr>
                <w:rFonts w:cs="Times New Roman"/>
                <w:sz w:val="18"/>
                <w:szCs w:val="18"/>
              </w:rPr>
              <w:t>≥ 6</w:t>
            </w:r>
            <w:r w:rsidRPr="00D325AF">
              <w:rPr>
                <w:sz w:val="18"/>
                <w:szCs w:val="18"/>
              </w:rPr>
              <w:t>0</w:t>
            </w:r>
          </w:p>
        </w:tc>
        <w:tc>
          <w:tcPr>
            <w:tcW w:w="0" w:type="auto"/>
            <w:tcBorders>
              <w:top w:val="single" w:sz="4" w:space="0" w:color="auto"/>
            </w:tcBorders>
            <w:noWrap/>
            <w:vAlign w:val="bottom"/>
            <w:hideMark/>
          </w:tcPr>
          <w:p w14:paraId="6FE735E0" w14:textId="3E976CDE" w:rsidR="00A15BC1" w:rsidRPr="00D325AF" w:rsidRDefault="00A15BC1" w:rsidP="00D325AF">
            <w:pPr>
              <w:spacing w:line="240" w:lineRule="auto"/>
              <w:rPr>
                <w:sz w:val="18"/>
                <w:szCs w:val="18"/>
              </w:rPr>
            </w:pPr>
            <w:r w:rsidRPr="00D325AF">
              <w:rPr>
                <w:sz w:val="18"/>
                <w:szCs w:val="18"/>
              </w:rPr>
              <w:t>98 (59.0)</w:t>
            </w:r>
          </w:p>
        </w:tc>
        <w:tc>
          <w:tcPr>
            <w:tcW w:w="0" w:type="auto"/>
            <w:tcBorders>
              <w:top w:val="single" w:sz="4" w:space="0" w:color="auto"/>
            </w:tcBorders>
            <w:noWrap/>
            <w:hideMark/>
          </w:tcPr>
          <w:p w14:paraId="140ACC96" w14:textId="5D52B7B7" w:rsidR="00A15BC1" w:rsidRPr="00D325AF" w:rsidRDefault="00A15BC1" w:rsidP="00D325AF">
            <w:pPr>
              <w:spacing w:line="240" w:lineRule="auto"/>
              <w:rPr>
                <w:sz w:val="18"/>
                <w:szCs w:val="18"/>
              </w:rPr>
            </w:pPr>
            <w:r w:rsidRPr="00D325AF">
              <w:rPr>
                <w:sz w:val="18"/>
                <w:szCs w:val="18"/>
              </w:rPr>
              <w:t>140.61</w:t>
            </w:r>
            <w:r w:rsidR="00BA6102" w:rsidRPr="00D325AF">
              <w:rPr>
                <w:b/>
                <w:bCs/>
                <w:sz w:val="18"/>
                <w:szCs w:val="18"/>
              </w:rPr>
              <w:t>±</w:t>
            </w:r>
            <w:r w:rsidRPr="00D325AF">
              <w:rPr>
                <w:sz w:val="18"/>
                <w:szCs w:val="18"/>
              </w:rPr>
              <w:t>63.80</w:t>
            </w:r>
          </w:p>
        </w:tc>
        <w:tc>
          <w:tcPr>
            <w:tcW w:w="0" w:type="auto"/>
            <w:tcBorders>
              <w:top w:val="single" w:sz="4" w:space="0" w:color="auto"/>
            </w:tcBorders>
            <w:noWrap/>
            <w:hideMark/>
          </w:tcPr>
          <w:p w14:paraId="1A38EFB2" w14:textId="77777777" w:rsidR="00A15BC1" w:rsidRPr="00D325AF" w:rsidRDefault="00A15BC1" w:rsidP="00D325AF">
            <w:pPr>
              <w:spacing w:line="240" w:lineRule="auto"/>
              <w:rPr>
                <w:sz w:val="18"/>
                <w:szCs w:val="18"/>
              </w:rPr>
            </w:pPr>
            <w:r w:rsidRPr="00D325AF">
              <w:rPr>
                <w:sz w:val="18"/>
                <w:szCs w:val="18"/>
              </w:rPr>
              <w:t>0.308</w:t>
            </w:r>
          </w:p>
        </w:tc>
        <w:tc>
          <w:tcPr>
            <w:tcW w:w="0" w:type="auto"/>
            <w:tcBorders>
              <w:top w:val="single" w:sz="4" w:space="0" w:color="auto"/>
            </w:tcBorders>
            <w:noWrap/>
            <w:hideMark/>
          </w:tcPr>
          <w:p w14:paraId="15505250" w14:textId="18072933" w:rsidR="00A15BC1" w:rsidRPr="00D325AF" w:rsidRDefault="00A15BC1" w:rsidP="00D325AF">
            <w:pPr>
              <w:spacing w:line="240" w:lineRule="auto"/>
              <w:rPr>
                <w:sz w:val="18"/>
                <w:szCs w:val="18"/>
              </w:rPr>
            </w:pPr>
            <w:r w:rsidRPr="00D325AF">
              <w:rPr>
                <w:sz w:val="18"/>
                <w:szCs w:val="18"/>
              </w:rPr>
              <w:t>5.83</w:t>
            </w:r>
            <w:r w:rsidRPr="00D325AF">
              <w:rPr>
                <w:rFonts w:hint="eastAsia"/>
                <w:sz w:val="18"/>
                <w:szCs w:val="18"/>
              </w:rPr>
              <w:t xml:space="preserve"> (</w:t>
            </w:r>
            <w:r w:rsidRPr="00D325AF">
              <w:rPr>
                <w:sz w:val="18"/>
                <w:szCs w:val="18"/>
              </w:rPr>
              <w:t>15.58</w:t>
            </w:r>
            <w:r w:rsidRPr="00D325AF">
              <w:rPr>
                <w:rFonts w:hint="eastAsia"/>
                <w:sz w:val="18"/>
                <w:szCs w:val="18"/>
              </w:rPr>
              <w:t>)</w:t>
            </w:r>
          </w:p>
        </w:tc>
        <w:tc>
          <w:tcPr>
            <w:tcW w:w="0" w:type="auto"/>
            <w:tcBorders>
              <w:top w:val="single" w:sz="4" w:space="0" w:color="auto"/>
            </w:tcBorders>
            <w:noWrap/>
            <w:hideMark/>
          </w:tcPr>
          <w:p w14:paraId="55D65AA8" w14:textId="77777777" w:rsidR="00A15BC1" w:rsidRPr="00257E2E" w:rsidRDefault="00A15BC1" w:rsidP="00D325AF">
            <w:pPr>
              <w:spacing w:line="240" w:lineRule="auto"/>
              <w:rPr>
                <w:sz w:val="18"/>
                <w:szCs w:val="18"/>
              </w:rPr>
            </w:pPr>
            <w:r w:rsidRPr="00257E2E">
              <w:rPr>
                <w:sz w:val="18"/>
                <w:szCs w:val="18"/>
              </w:rPr>
              <w:t>0.909</w:t>
            </w:r>
          </w:p>
        </w:tc>
      </w:tr>
      <w:tr w:rsidR="00A15BC1" w:rsidRPr="00D325AF" w14:paraId="3E87078C" w14:textId="77777777" w:rsidTr="005C3BDD">
        <w:trPr>
          <w:trHeight w:val="223"/>
        </w:trPr>
        <w:tc>
          <w:tcPr>
            <w:tcW w:w="0" w:type="auto"/>
            <w:noWrap/>
            <w:vAlign w:val="bottom"/>
            <w:hideMark/>
          </w:tcPr>
          <w:p w14:paraId="673F8497" w14:textId="77777777" w:rsidR="00A15BC1" w:rsidRPr="00D325AF" w:rsidRDefault="00A15BC1" w:rsidP="00D325AF">
            <w:pPr>
              <w:spacing w:line="240" w:lineRule="auto"/>
              <w:rPr>
                <w:sz w:val="18"/>
                <w:szCs w:val="18"/>
              </w:rPr>
            </w:pPr>
          </w:p>
        </w:tc>
        <w:tc>
          <w:tcPr>
            <w:tcW w:w="0" w:type="auto"/>
            <w:noWrap/>
            <w:vAlign w:val="bottom"/>
            <w:hideMark/>
          </w:tcPr>
          <w:p w14:paraId="0ACE766A" w14:textId="77777777" w:rsidR="00A15BC1" w:rsidRPr="00D325AF" w:rsidRDefault="00A15BC1" w:rsidP="00D325AF">
            <w:pPr>
              <w:spacing w:line="240" w:lineRule="auto"/>
              <w:rPr>
                <w:sz w:val="18"/>
                <w:szCs w:val="18"/>
              </w:rPr>
            </w:pPr>
            <w:r w:rsidRPr="00D325AF">
              <w:rPr>
                <w:rFonts w:cs="Times New Roman"/>
                <w:sz w:val="18"/>
                <w:szCs w:val="18"/>
              </w:rPr>
              <w:t xml:space="preserve">&lt; </w:t>
            </w:r>
            <w:r w:rsidRPr="00D325AF">
              <w:rPr>
                <w:sz w:val="18"/>
                <w:szCs w:val="18"/>
              </w:rPr>
              <w:t>60</w:t>
            </w:r>
          </w:p>
        </w:tc>
        <w:tc>
          <w:tcPr>
            <w:tcW w:w="0" w:type="auto"/>
            <w:noWrap/>
            <w:vAlign w:val="bottom"/>
            <w:hideMark/>
          </w:tcPr>
          <w:p w14:paraId="2DA18704" w14:textId="48048604" w:rsidR="00A15BC1" w:rsidRPr="00D325AF" w:rsidRDefault="00A15BC1" w:rsidP="00D325AF">
            <w:pPr>
              <w:spacing w:line="240" w:lineRule="auto"/>
              <w:rPr>
                <w:sz w:val="18"/>
                <w:szCs w:val="18"/>
              </w:rPr>
            </w:pPr>
            <w:r w:rsidRPr="00D325AF">
              <w:rPr>
                <w:sz w:val="18"/>
                <w:szCs w:val="18"/>
              </w:rPr>
              <w:t>68 (4</w:t>
            </w:r>
            <w:r w:rsidRPr="00D325AF">
              <w:rPr>
                <w:rFonts w:hint="eastAsia"/>
                <w:sz w:val="18"/>
                <w:szCs w:val="18"/>
              </w:rPr>
              <w:t>1</w:t>
            </w:r>
            <w:r w:rsidRPr="00D325AF">
              <w:rPr>
                <w:sz w:val="18"/>
                <w:szCs w:val="18"/>
              </w:rPr>
              <w:t>.</w:t>
            </w:r>
            <w:r w:rsidRPr="00D325AF">
              <w:rPr>
                <w:rFonts w:hint="eastAsia"/>
                <w:sz w:val="18"/>
                <w:szCs w:val="18"/>
              </w:rPr>
              <w:t>0</w:t>
            </w:r>
            <w:r w:rsidRPr="00D325AF">
              <w:rPr>
                <w:sz w:val="18"/>
                <w:szCs w:val="18"/>
              </w:rPr>
              <w:t>)</w:t>
            </w:r>
          </w:p>
        </w:tc>
        <w:tc>
          <w:tcPr>
            <w:tcW w:w="0" w:type="auto"/>
            <w:noWrap/>
            <w:hideMark/>
          </w:tcPr>
          <w:p w14:paraId="28C57B5F" w14:textId="549B27E8" w:rsidR="00A15BC1" w:rsidRPr="00D325AF" w:rsidRDefault="00A15BC1" w:rsidP="00D325AF">
            <w:pPr>
              <w:spacing w:line="240" w:lineRule="auto"/>
              <w:rPr>
                <w:sz w:val="18"/>
                <w:szCs w:val="18"/>
              </w:rPr>
            </w:pPr>
            <w:r w:rsidRPr="00D325AF">
              <w:rPr>
                <w:sz w:val="18"/>
                <w:szCs w:val="18"/>
              </w:rPr>
              <w:t>149.88</w:t>
            </w:r>
            <w:r w:rsidR="00BA6102" w:rsidRPr="00D325AF">
              <w:rPr>
                <w:b/>
                <w:bCs/>
                <w:sz w:val="18"/>
                <w:szCs w:val="18"/>
              </w:rPr>
              <w:t>±</w:t>
            </w:r>
            <w:r w:rsidRPr="00D325AF">
              <w:rPr>
                <w:sz w:val="18"/>
                <w:szCs w:val="18"/>
              </w:rPr>
              <w:t>46.68</w:t>
            </w:r>
          </w:p>
        </w:tc>
        <w:tc>
          <w:tcPr>
            <w:tcW w:w="0" w:type="auto"/>
            <w:noWrap/>
            <w:hideMark/>
          </w:tcPr>
          <w:p w14:paraId="0B5CF307" w14:textId="77777777" w:rsidR="00A15BC1" w:rsidRPr="00D325AF" w:rsidRDefault="00A15BC1" w:rsidP="00D325AF">
            <w:pPr>
              <w:spacing w:line="240" w:lineRule="auto"/>
              <w:rPr>
                <w:sz w:val="18"/>
                <w:szCs w:val="18"/>
              </w:rPr>
            </w:pPr>
          </w:p>
        </w:tc>
        <w:tc>
          <w:tcPr>
            <w:tcW w:w="0" w:type="auto"/>
            <w:noWrap/>
            <w:hideMark/>
          </w:tcPr>
          <w:p w14:paraId="07E41329" w14:textId="064B2635" w:rsidR="00A15BC1" w:rsidRPr="00D325AF" w:rsidRDefault="00A15BC1" w:rsidP="00D325AF">
            <w:pPr>
              <w:spacing w:line="240" w:lineRule="auto"/>
              <w:rPr>
                <w:sz w:val="18"/>
                <w:szCs w:val="18"/>
              </w:rPr>
            </w:pPr>
            <w:r w:rsidRPr="00D325AF">
              <w:rPr>
                <w:sz w:val="18"/>
                <w:szCs w:val="18"/>
              </w:rPr>
              <w:t>6.70</w:t>
            </w:r>
            <w:r w:rsidRPr="00D325AF">
              <w:rPr>
                <w:rFonts w:hint="eastAsia"/>
                <w:sz w:val="18"/>
                <w:szCs w:val="18"/>
              </w:rPr>
              <w:t xml:space="preserve"> (</w:t>
            </w:r>
            <w:r w:rsidRPr="00D325AF">
              <w:rPr>
                <w:sz w:val="18"/>
                <w:szCs w:val="18"/>
              </w:rPr>
              <w:t>10.40</w:t>
            </w:r>
            <w:r w:rsidRPr="00D325AF">
              <w:rPr>
                <w:rFonts w:hint="eastAsia"/>
                <w:sz w:val="18"/>
                <w:szCs w:val="18"/>
              </w:rPr>
              <w:t>)</w:t>
            </w:r>
          </w:p>
        </w:tc>
        <w:tc>
          <w:tcPr>
            <w:tcW w:w="0" w:type="auto"/>
            <w:noWrap/>
            <w:hideMark/>
          </w:tcPr>
          <w:p w14:paraId="7F56C315" w14:textId="77777777" w:rsidR="00A15BC1" w:rsidRPr="00257E2E" w:rsidRDefault="00A15BC1" w:rsidP="00D325AF">
            <w:pPr>
              <w:spacing w:line="240" w:lineRule="auto"/>
              <w:rPr>
                <w:sz w:val="18"/>
                <w:szCs w:val="18"/>
              </w:rPr>
            </w:pPr>
          </w:p>
        </w:tc>
      </w:tr>
      <w:tr w:rsidR="00A15BC1" w:rsidRPr="00D325AF" w14:paraId="2DF23E2F" w14:textId="77777777" w:rsidTr="005C3BDD">
        <w:trPr>
          <w:trHeight w:val="223"/>
        </w:trPr>
        <w:tc>
          <w:tcPr>
            <w:tcW w:w="0" w:type="auto"/>
            <w:noWrap/>
            <w:vAlign w:val="bottom"/>
            <w:hideMark/>
          </w:tcPr>
          <w:p w14:paraId="5D3956B5" w14:textId="77777777" w:rsidR="00A15BC1" w:rsidRPr="00D325AF" w:rsidRDefault="00A15BC1" w:rsidP="00D325AF">
            <w:pPr>
              <w:spacing w:line="240" w:lineRule="auto"/>
              <w:rPr>
                <w:sz w:val="18"/>
                <w:szCs w:val="18"/>
              </w:rPr>
            </w:pPr>
            <w:r w:rsidRPr="00D325AF">
              <w:rPr>
                <w:sz w:val="18"/>
                <w:szCs w:val="18"/>
              </w:rPr>
              <w:t>Sex</w:t>
            </w:r>
          </w:p>
        </w:tc>
        <w:tc>
          <w:tcPr>
            <w:tcW w:w="0" w:type="auto"/>
            <w:noWrap/>
            <w:vAlign w:val="bottom"/>
            <w:hideMark/>
          </w:tcPr>
          <w:p w14:paraId="7BC03737" w14:textId="77777777" w:rsidR="00A15BC1" w:rsidRPr="00D325AF" w:rsidRDefault="00A15BC1" w:rsidP="00D325AF">
            <w:pPr>
              <w:spacing w:line="240" w:lineRule="auto"/>
              <w:rPr>
                <w:sz w:val="18"/>
                <w:szCs w:val="18"/>
              </w:rPr>
            </w:pPr>
            <w:r w:rsidRPr="00D325AF">
              <w:rPr>
                <w:sz w:val="18"/>
                <w:szCs w:val="18"/>
              </w:rPr>
              <w:t>Male</w:t>
            </w:r>
          </w:p>
        </w:tc>
        <w:tc>
          <w:tcPr>
            <w:tcW w:w="0" w:type="auto"/>
            <w:noWrap/>
            <w:vAlign w:val="bottom"/>
            <w:hideMark/>
          </w:tcPr>
          <w:p w14:paraId="1813348A" w14:textId="7096100E" w:rsidR="00A15BC1" w:rsidRPr="00D325AF" w:rsidRDefault="00A15BC1" w:rsidP="00D325AF">
            <w:pPr>
              <w:spacing w:line="240" w:lineRule="auto"/>
              <w:rPr>
                <w:sz w:val="18"/>
                <w:szCs w:val="18"/>
              </w:rPr>
            </w:pPr>
            <w:r w:rsidRPr="00D325AF">
              <w:rPr>
                <w:sz w:val="18"/>
                <w:szCs w:val="18"/>
              </w:rPr>
              <w:t>99 (59.6)</w:t>
            </w:r>
          </w:p>
        </w:tc>
        <w:tc>
          <w:tcPr>
            <w:tcW w:w="0" w:type="auto"/>
            <w:noWrap/>
            <w:hideMark/>
          </w:tcPr>
          <w:p w14:paraId="33D359D7" w14:textId="20CD2C28" w:rsidR="00A15BC1" w:rsidRPr="00D325AF" w:rsidRDefault="00A15BC1" w:rsidP="00D325AF">
            <w:pPr>
              <w:spacing w:line="240" w:lineRule="auto"/>
              <w:rPr>
                <w:sz w:val="18"/>
                <w:szCs w:val="18"/>
              </w:rPr>
            </w:pPr>
            <w:r w:rsidRPr="00D325AF">
              <w:rPr>
                <w:sz w:val="18"/>
                <w:szCs w:val="18"/>
              </w:rPr>
              <w:t>145.39</w:t>
            </w:r>
            <w:r w:rsidR="00BA6102" w:rsidRPr="00D325AF">
              <w:rPr>
                <w:b/>
                <w:bCs/>
                <w:sz w:val="18"/>
                <w:szCs w:val="18"/>
              </w:rPr>
              <w:t>±</w:t>
            </w:r>
            <w:r w:rsidRPr="00D325AF">
              <w:rPr>
                <w:sz w:val="18"/>
                <w:szCs w:val="18"/>
              </w:rPr>
              <w:t>60.57</w:t>
            </w:r>
          </w:p>
        </w:tc>
        <w:tc>
          <w:tcPr>
            <w:tcW w:w="0" w:type="auto"/>
            <w:noWrap/>
            <w:hideMark/>
          </w:tcPr>
          <w:p w14:paraId="4AC20ED6" w14:textId="77777777" w:rsidR="00A15BC1" w:rsidRPr="00D325AF" w:rsidRDefault="00A15BC1" w:rsidP="00D325AF">
            <w:pPr>
              <w:spacing w:line="240" w:lineRule="auto"/>
              <w:rPr>
                <w:sz w:val="18"/>
                <w:szCs w:val="18"/>
              </w:rPr>
            </w:pPr>
            <w:r w:rsidRPr="00D325AF">
              <w:rPr>
                <w:sz w:val="18"/>
                <w:szCs w:val="18"/>
              </w:rPr>
              <w:t>0.790</w:t>
            </w:r>
          </w:p>
        </w:tc>
        <w:tc>
          <w:tcPr>
            <w:tcW w:w="0" w:type="auto"/>
            <w:noWrap/>
            <w:hideMark/>
          </w:tcPr>
          <w:p w14:paraId="11C00E66" w14:textId="69DC7462" w:rsidR="00A15BC1" w:rsidRPr="00D325AF" w:rsidRDefault="00A15BC1" w:rsidP="00D325AF">
            <w:pPr>
              <w:spacing w:line="240" w:lineRule="auto"/>
              <w:rPr>
                <w:sz w:val="18"/>
                <w:szCs w:val="18"/>
              </w:rPr>
            </w:pPr>
            <w:r w:rsidRPr="00D325AF">
              <w:rPr>
                <w:sz w:val="18"/>
                <w:szCs w:val="18"/>
              </w:rPr>
              <w:t>6.49</w:t>
            </w:r>
            <w:r w:rsidRPr="00D325AF">
              <w:rPr>
                <w:rFonts w:hint="eastAsia"/>
                <w:sz w:val="18"/>
                <w:szCs w:val="18"/>
              </w:rPr>
              <w:t xml:space="preserve"> (</w:t>
            </w:r>
            <w:r w:rsidRPr="00D325AF">
              <w:rPr>
                <w:sz w:val="18"/>
                <w:szCs w:val="18"/>
              </w:rPr>
              <w:t>10.24</w:t>
            </w:r>
            <w:r w:rsidRPr="00D325AF">
              <w:rPr>
                <w:rFonts w:hint="eastAsia"/>
                <w:sz w:val="18"/>
                <w:szCs w:val="18"/>
              </w:rPr>
              <w:t>)</w:t>
            </w:r>
          </w:p>
        </w:tc>
        <w:tc>
          <w:tcPr>
            <w:tcW w:w="0" w:type="auto"/>
            <w:noWrap/>
            <w:hideMark/>
          </w:tcPr>
          <w:p w14:paraId="46F4872A" w14:textId="77777777" w:rsidR="00A15BC1" w:rsidRPr="00257E2E" w:rsidRDefault="00A15BC1" w:rsidP="00D325AF">
            <w:pPr>
              <w:spacing w:line="240" w:lineRule="auto"/>
              <w:rPr>
                <w:sz w:val="18"/>
                <w:szCs w:val="18"/>
              </w:rPr>
            </w:pPr>
            <w:r w:rsidRPr="00257E2E">
              <w:rPr>
                <w:sz w:val="18"/>
                <w:szCs w:val="18"/>
              </w:rPr>
              <w:t>0.750</w:t>
            </w:r>
          </w:p>
        </w:tc>
      </w:tr>
      <w:tr w:rsidR="00A15BC1" w:rsidRPr="00D325AF" w14:paraId="537A6D72" w14:textId="77777777" w:rsidTr="005C3BDD">
        <w:trPr>
          <w:trHeight w:val="223"/>
        </w:trPr>
        <w:tc>
          <w:tcPr>
            <w:tcW w:w="0" w:type="auto"/>
            <w:noWrap/>
            <w:vAlign w:val="bottom"/>
            <w:hideMark/>
          </w:tcPr>
          <w:p w14:paraId="41486871" w14:textId="77777777" w:rsidR="00A15BC1" w:rsidRPr="00D325AF" w:rsidRDefault="00A15BC1" w:rsidP="00D325AF">
            <w:pPr>
              <w:spacing w:line="240" w:lineRule="auto"/>
              <w:rPr>
                <w:sz w:val="18"/>
                <w:szCs w:val="18"/>
              </w:rPr>
            </w:pPr>
          </w:p>
        </w:tc>
        <w:tc>
          <w:tcPr>
            <w:tcW w:w="0" w:type="auto"/>
            <w:noWrap/>
            <w:vAlign w:val="bottom"/>
            <w:hideMark/>
          </w:tcPr>
          <w:p w14:paraId="11DB88F3" w14:textId="77777777" w:rsidR="00A15BC1" w:rsidRPr="00D325AF" w:rsidRDefault="00A15BC1" w:rsidP="00D325AF">
            <w:pPr>
              <w:spacing w:line="240" w:lineRule="auto"/>
              <w:rPr>
                <w:sz w:val="18"/>
                <w:szCs w:val="18"/>
              </w:rPr>
            </w:pPr>
            <w:r w:rsidRPr="00D325AF">
              <w:rPr>
                <w:sz w:val="18"/>
                <w:szCs w:val="18"/>
              </w:rPr>
              <w:t>Female</w:t>
            </w:r>
          </w:p>
        </w:tc>
        <w:tc>
          <w:tcPr>
            <w:tcW w:w="0" w:type="auto"/>
            <w:noWrap/>
            <w:vAlign w:val="bottom"/>
            <w:hideMark/>
          </w:tcPr>
          <w:p w14:paraId="2E219A36" w14:textId="4CFAECE8" w:rsidR="00A15BC1" w:rsidRPr="00D325AF" w:rsidRDefault="00A15BC1" w:rsidP="00D325AF">
            <w:pPr>
              <w:spacing w:line="240" w:lineRule="auto"/>
              <w:rPr>
                <w:sz w:val="18"/>
                <w:szCs w:val="18"/>
              </w:rPr>
            </w:pPr>
            <w:r w:rsidRPr="00D325AF">
              <w:rPr>
                <w:sz w:val="18"/>
                <w:szCs w:val="18"/>
              </w:rPr>
              <w:t>67 (40.</w:t>
            </w:r>
            <w:r w:rsidRPr="00D325AF">
              <w:rPr>
                <w:rFonts w:hint="eastAsia"/>
                <w:sz w:val="18"/>
                <w:szCs w:val="18"/>
              </w:rPr>
              <w:t>4</w:t>
            </w:r>
            <w:r w:rsidRPr="00D325AF">
              <w:rPr>
                <w:sz w:val="18"/>
                <w:szCs w:val="18"/>
              </w:rPr>
              <w:t>)</w:t>
            </w:r>
          </w:p>
        </w:tc>
        <w:tc>
          <w:tcPr>
            <w:tcW w:w="0" w:type="auto"/>
            <w:noWrap/>
            <w:hideMark/>
          </w:tcPr>
          <w:p w14:paraId="5A25CB7A" w14:textId="4AEA99F1" w:rsidR="00A15BC1" w:rsidRPr="00D325AF" w:rsidRDefault="00A15BC1" w:rsidP="00D325AF">
            <w:pPr>
              <w:spacing w:line="240" w:lineRule="auto"/>
              <w:rPr>
                <w:sz w:val="18"/>
                <w:szCs w:val="18"/>
              </w:rPr>
            </w:pPr>
            <w:r w:rsidRPr="00D325AF">
              <w:rPr>
                <w:sz w:val="18"/>
                <w:szCs w:val="18"/>
              </w:rPr>
              <w:t>142.96</w:t>
            </w:r>
            <w:r w:rsidR="00BA6102" w:rsidRPr="00D325AF">
              <w:rPr>
                <w:b/>
                <w:bCs/>
                <w:sz w:val="18"/>
                <w:szCs w:val="18"/>
              </w:rPr>
              <w:t>±</w:t>
            </w:r>
            <w:r w:rsidRPr="00D325AF">
              <w:rPr>
                <w:sz w:val="18"/>
                <w:szCs w:val="18"/>
              </w:rPr>
              <w:t>52.86</w:t>
            </w:r>
          </w:p>
        </w:tc>
        <w:tc>
          <w:tcPr>
            <w:tcW w:w="0" w:type="auto"/>
            <w:noWrap/>
            <w:hideMark/>
          </w:tcPr>
          <w:p w14:paraId="3BC827BA" w14:textId="77777777" w:rsidR="00A15BC1" w:rsidRPr="00D325AF" w:rsidRDefault="00A15BC1" w:rsidP="00D325AF">
            <w:pPr>
              <w:spacing w:line="240" w:lineRule="auto"/>
              <w:rPr>
                <w:sz w:val="18"/>
                <w:szCs w:val="18"/>
              </w:rPr>
            </w:pPr>
          </w:p>
        </w:tc>
        <w:tc>
          <w:tcPr>
            <w:tcW w:w="0" w:type="auto"/>
            <w:noWrap/>
            <w:hideMark/>
          </w:tcPr>
          <w:p w14:paraId="08A8D414" w14:textId="69E03C51" w:rsidR="00A15BC1" w:rsidRPr="00D325AF" w:rsidRDefault="00A15BC1" w:rsidP="00D325AF">
            <w:pPr>
              <w:spacing w:line="240" w:lineRule="auto"/>
              <w:rPr>
                <w:sz w:val="18"/>
                <w:szCs w:val="18"/>
              </w:rPr>
            </w:pPr>
            <w:r w:rsidRPr="00D325AF">
              <w:rPr>
                <w:sz w:val="18"/>
                <w:szCs w:val="18"/>
              </w:rPr>
              <w:t>4.90</w:t>
            </w:r>
            <w:r w:rsidRPr="00D325AF">
              <w:rPr>
                <w:rFonts w:hint="eastAsia"/>
                <w:sz w:val="18"/>
                <w:szCs w:val="18"/>
              </w:rPr>
              <w:t xml:space="preserve"> (</w:t>
            </w:r>
            <w:r w:rsidRPr="00D325AF">
              <w:rPr>
                <w:sz w:val="18"/>
                <w:szCs w:val="18"/>
              </w:rPr>
              <w:t>17.10</w:t>
            </w:r>
            <w:r w:rsidRPr="00D325AF">
              <w:rPr>
                <w:rFonts w:hint="eastAsia"/>
                <w:sz w:val="18"/>
                <w:szCs w:val="18"/>
              </w:rPr>
              <w:t>)</w:t>
            </w:r>
          </w:p>
        </w:tc>
        <w:tc>
          <w:tcPr>
            <w:tcW w:w="0" w:type="auto"/>
            <w:noWrap/>
            <w:hideMark/>
          </w:tcPr>
          <w:p w14:paraId="62723C26" w14:textId="77777777" w:rsidR="00A15BC1" w:rsidRPr="00257E2E" w:rsidRDefault="00A15BC1" w:rsidP="00D325AF">
            <w:pPr>
              <w:spacing w:line="240" w:lineRule="auto"/>
              <w:rPr>
                <w:sz w:val="18"/>
                <w:szCs w:val="18"/>
              </w:rPr>
            </w:pPr>
          </w:p>
        </w:tc>
      </w:tr>
      <w:tr w:rsidR="00A15BC1" w:rsidRPr="00D325AF" w14:paraId="4759094D" w14:textId="77777777" w:rsidTr="005C3BDD">
        <w:trPr>
          <w:trHeight w:val="223"/>
        </w:trPr>
        <w:tc>
          <w:tcPr>
            <w:tcW w:w="0" w:type="auto"/>
            <w:noWrap/>
            <w:vAlign w:val="bottom"/>
            <w:hideMark/>
          </w:tcPr>
          <w:p w14:paraId="1AC5A0FB" w14:textId="77777777" w:rsidR="00A15BC1" w:rsidRPr="00D325AF" w:rsidRDefault="00A15BC1" w:rsidP="00D325AF">
            <w:pPr>
              <w:spacing w:line="240" w:lineRule="auto"/>
              <w:rPr>
                <w:sz w:val="18"/>
                <w:szCs w:val="18"/>
              </w:rPr>
            </w:pPr>
            <w:r w:rsidRPr="00D325AF">
              <w:rPr>
                <w:sz w:val="18"/>
                <w:szCs w:val="18"/>
              </w:rPr>
              <w:t>Position</w:t>
            </w:r>
          </w:p>
        </w:tc>
        <w:tc>
          <w:tcPr>
            <w:tcW w:w="0" w:type="auto"/>
            <w:noWrap/>
            <w:vAlign w:val="bottom"/>
            <w:hideMark/>
          </w:tcPr>
          <w:p w14:paraId="2ABD8C9C" w14:textId="77777777" w:rsidR="00A15BC1" w:rsidRPr="00D325AF" w:rsidRDefault="00A15BC1" w:rsidP="00D325AF">
            <w:pPr>
              <w:spacing w:line="240" w:lineRule="auto"/>
              <w:rPr>
                <w:sz w:val="18"/>
                <w:szCs w:val="18"/>
              </w:rPr>
            </w:pPr>
            <w:r w:rsidRPr="00D325AF">
              <w:rPr>
                <w:sz w:val="18"/>
                <w:szCs w:val="18"/>
              </w:rPr>
              <w:t>Colon</w:t>
            </w:r>
          </w:p>
        </w:tc>
        <w:tc>
          <w:tcPr>
            <w:tcW w:w="0" w:type="auto"/>
            <w:noWrap/>
            <w:vAlign w:val="bottom"/>
            <w:hideMark/>
          </w:tcPr>
          <w:p w14:paraId="44C804D4" w14:textId="54A92B0F" w:rsidR="00A15BC1" w:rsidRPr="00D325AF" w:rsidRDefault="00A15BC1" w:rsidP="00D325AF">
            <w:pPr>
              <w:spacing w:line="240" w:lineRule="auto"/>
              <w:rPr>
                <w:sz w:val="18"/>
                <w:szCs w:val="18"/>
              </w:rPr>
            </w:pPr>
            <w:r w:rsidRPr="00D325AF">
              <w:rPr>
                <w:sz w:val="18"/>
                <w:szCs w:val="18"/>
              </w:rPr>
              <w:t>34 (20.</w:t>
            </w:r>
            <w:r w:rsidRPr="00D325AF">
              <w:rPr>
                <w:rFonts w:hint="eastAsia"/>
                <w:sz w:val="18"/>
                <w:szCs w:val="18"/>
              </w:rPr>
              <w:t>5</w:t>
            </w:r>
            <w:r w:rsidRPr="00D325AF">
              <w:rPr>
                <w:sz w:val="18"/>
                <w:szCs w:val="18"/>
              </w:rPr>
              <w:t>)</w:t>
            </w:r>
          </w:p>
        </w:tc>
        <w:tc>
          <w:tcPr>
            <w:tcW w:w="0" w:type="auto"/>
            <w:noWrap/>
            <w:hideMark/>
          </w:tcPr>
          <w:p w14:paraId="486E0FC8" w14:textId="6F3A8D07" w:rsidR="00A15BC1" w:rsidRPr="00D325AF" w:rsidRDefault="00A15BC1" w:rsidP="00D325AF">
            <w:pPr>
              <w:spacing w:line="240" w:lineRule="auto"/>
              <w:rPr>
                <w:sz w:val="18"/>
                <w:szCs w:val="18"/>
              </w:rPr>
            </w:pPr>
            <w:r w:rsidRPr="00D325AF">
              <w:rPr>
                <w:sz w:val="18"/>
                <w:szCs w:val="18"/>
              </w:rPr>
              <w:t>149.29</w:t>
            </w:r>
            <w:r w:rsidR="00BA6102" w:rsidRPr="00D325AF">
              <w:rPr>
                <w:b/>
                <w:bCs/>
                <w:sz w:val="18"/>
                <w:szCs w:val="18"/>
              </w:rPr>
              <w:t>±</w:t>
            </w:r>
            <w:r w:rsidRPr="00D325AF">
              <w:rPr>
                <w:sz w:val="18"/>
                <w:szCs w:val="18"/>
              </w:rPr>
              <w:t>59.80</w:t>
            </w:r>
          </w:p>
        </w:tc>
        <w:tc>
          <w:tcPr>
            <w:tcW w:w="0" w:type="auto"/>
            <w:noWrap/>
            <w:hideMark/>
          </w:tcPr>
          <w:p w14:paraId="274B144F" w14:textId="77777777" w:rsidR="00A15BC1" w:rsidRPr="00D325AF" w:rsidRDefault="00A15BC1" w:rsidP="00D325AF">
            <w:pPr>
              <w:spacing w:line="240" w:lineRule="auto"/>
              <w:rPr>
                <w:sz w:val="18"/>
                <w:szCs w:val="18"/>
              </w:rPr>
            </w:pPr>
            <w:r w:rsidRPr="00D325AF">
              <w:rPr>
                <w:sz w:val="18"/>
                <w:szCs w:val="18"/>
              </w:rPr>
              <w:t>0.580</w:t>
            </w:r>
          </w:p>
        </w:tc>
        <w:tc>
          <w:tcPr>
            <w:tcW w:w="0" w:type="auto"/>
            <w:noWrap/>
            <w:hideMark/>
          </w:tcPr>
          <w:p w14:paraId="0656D991" w14:textId="53AA5A38" w:rsidR="00A15BC1" w:rsidRPr="00D325AF" w:rsidRDefault="00A15BC1" w:rsidP="00D325AF">
            <w:pPr>
              <w:spacing w:line="240" w:lineRule="auto"/>
              <w:rPr>
                <w:sz w:val="18"/>
                <w:szCs w:val="18"/>
              </w:rPr>
            </w:pPr>
            <w:r w:rsidRPr="00D325AF">
              <w:rPr>
                <w:sz w:val="18"/>
                <w:szCs w:val="18"/>
              </w:rPr>
              <w:t>4.87</w:t>
            </w:r>
            <w:r w:rsidRPr="00D325AF">
              <w:rPr>
                <w:rFonts w:hint="eastAsia"/>
                <w:sz w:val="18"/>
                <w:szCs w:val="18"/>
              </w:rPr>
              <w:t xml:space="preserve"> (</w:t>
            </w:r>
            <w:r w:rsidRPr="00D325AF">
              <w:rPr>
                <w:sz w:val="18"/>
                <w:szCs w:val="18"/>
              </w:rPr>
              <w:t>21.03</w:t>
            </w:r>
            <w:r w:rsidRPr="00D325AF">
              <w:rPr>
                <w:rFonts w:hint="eastAsia"/>
                <w:sz w:val="18"/>
                <w:szCs w:val="18"/>
              </w:rPr>
              <w:t>)</w:t>
            </w:r>
          </w:p>
        </w:tc>
        <w:tc>
          <w:tcPr>
            <w:tcW w:w="0" w:type="auto"/>
            <w:noWrap/>
            <w:hideMark/>
          </w:tcPr>
          <w:p w14:paraId="14958697" w14:textId="77777777" w:rsidR="00A15BC1" w:rsidRPr="00257E2E" w:rsidRDefault="00A15BC1" w:rsidP="00D325AF">
            <w:pPr>
              <w:spacing w:line="240" w:lineRule="auto"/>
              <w:rPr>
                <w:sz w:val="18"/>
                <w:szCs w:val="18"/>
              </w:rPr>
            </w:pPr>
            <w:r w:rsidRPr="00257E2E">
              <w:rPr>
                <w:sz w:val="18"/>
                <w:szCs w:val="18"/>
              </w:rPr>
              <w:t>0.957</w:t>
            </w:r>
          </w:p>
        </w:tc>
      </w:tr>
      <w:tr w:rsidR="00A15BC1" w:rsidRPr="00D325AF" w14:paraId="007B4446" w14:textId="77777777" w:rsidTr="005C3BDD">
        <w:trPr>
          <w:trHeight w:val="223"/>
        </w:trPr>
        <w:tc>
          <w:tcPr>
            <w:tcW w:w="0" w:type="auto"/>
            <w:noWrap/>
            <w:vAlign w:val="bottom"/>
            <w:hideMark/>
          </w:tcPr>
          <w:p w14:paraId="3DC69C86" w14:textId="77777777" w:rsidR="00A15BC1" w:rsidRPr="00D325AF" w:rsidRDefault="00A15BC1" w:rsidP="00D325AF">
            <w:pPr>
              <w:spacing w:line="240" w:lineRule="auto"/>
              <w:rPr>
                <w:sz w:val="18"/>
                <w:szCs w:val="18"/>
              </w:rPr>
            </w:pPr>
          </w:p>
        </w:tc>
        <w:tc>
          <w:tcPr>
            <w:tcW w:w="0" w:type="auto"/>
            <w:noWrap/>
            <w:vAlign w:val="bottom"/>
            <w:hideMark/>
          </w:tcPr>
          <w:p w14:paraId="076F9A73" w14:textId="77777777" w:rsidR="00A15BC1" w:rsidRPr="00D325AF" w:rsidRDefault="00A15BC1" w:rsidP="00D325AF">
            <w:pPr>
              <w:spacing w:line="240" w:lineRule="auto"/>
              <w:rPr>
                <w:sz w:val="18"/>
                <w:szCs w:val="18"/>
              </w:rPr>
            </w:pPr>
            <w:r w:rsidRPr="00D325AF">
              <w:rPr>
                <w:sz w:val="18"/>
                <w:szCs w:val="18"/>
              </w:rPr>
              <w:t>Rectum</w:t>
            </w:r>
          </w:p>
        </w:tc>
        <w:tc>
          <w:tcPr>
            <w:tcW w:w="0" w:type="auto"/>
            <w:noWrap/>
            <w:vAlign w:val="bottom"/>
            <w:hideMark/>
          </w:tcPr>
          <w:p w14:paraId="5F84D21E" w14:textId="78E5BEF4" w:rsidR="00A15BC1" w:rsidRPr="00D325AF" w:rsidRDefault="00A15BC1" w:rsidP="00D325AF">
            <w:pPr>
              <w:spacing w:line="240" w:lineRule="auto"/>
              <w:rPr>
                <w:sz w:val="18"/>
                <w:szCs w:val="18"/>
              </w:rPr>
            </w:pPr>
            <w:r w:rsidRPr="00D325AF">
              <w:rPr>
                <w:sz w:val="18"/>
                <w:szCs w:val="18"/>
              </w:rPr>
              <w:t>132 (79.5)</w:t>
            </w:r>
          </w:p>
        </w:tc>
        <w:tc>
          <w:tcPr>
            <w:tcW w:w="0" w:type="auto"/>
            <w:noWrap/>
            <w:hideMark/>
          </w:tcPr>
          <w:p w14:paraId="057DA66A" w14:textId="46B0470C" w:rsidR="00A15BC1" w:rsidRPr="00D325AF" w:rsidRDefault="00A15BC1" w:rsidP="00D325AF">
            <w:pPr>
              <w:spacing w:line="240" w:lineRule="auto"/>
              <w:rPr>
                <w:sz w:val="18"/>
                <w:szCs w:val="18"/>
              </w:rPr>
            </w:pPr>
            <w:r w:rsidRPr="00D325AF">
              <w:rPr>
                <w:sz w:val="18"/>
                <w:szCs w:val="18"/>
              </w:rPr>
              <w:t>143.15</w:t>
            </w:r>
            <w:r w:rsidR="00BA6102" w:rsidRPr="00D325AF">
              <w:rPr>
                <w:b/>
                <w:bCs/>
                <w:sz w:val="18"/>
                <w:szCs w:val="18"/>
              </w:rPr>
              <w:t>±</w:t>
            </w:r>
            <w:r w:rsidRPr="00D325AF">
              <w:rPr>
                <w:sz w:val="18"/>
                <w:szCs w:val="18"/>
              </w:rPr>
              <w:t>56.97</w:t>
            </w:r>
          </w:p>
        </w:tc>
        <w:tc>
          <w:tcPr>
            <w:tcW w:w="0" w:type="auto"/>
            <w:noWrap/>
            <w:hideMark/>
          </w:tcPr>
          <w:p w14:paraId="1E1C20EA" w14:textId="77777777" w:rsidR="00A15BC1" w:rsidRPr="00D325AF" w:rsidRDefault="00A15BC1" w:rsidP="00D325AF">
            <w:pPr>
              <w:spacing w:line="240" w:lineRule="auto"/>
              <w:rPr>
                <w:sz w:val="18"/>
                <w:szCs w:val="18"/>
              </w:rPr>
            </w:pPr>
          </w:p>
        </w:tc>
        <w:tc>
          <w:tcPr>
            <w:tcW w:w="0" w:type="auto"/>
            <w:noWrap/>
            <w:hideMark/>
          </w:tcPr>
          <w:p w14:paraId="38276B3A" w14:textId="3E57206A" w:rsidR="00A15BC1" w:rsidRPr="00D325AF" w:rsidRDefault="00A15BC1" w:rsidP="00D325AF">
            <w:pPr>
              <w:spacing w:line="240" w:lineRule="auto"/>
              <w:rPr>
                <w:sz w:val="18"/>
                <w:szCs w:val="18"/>
              </w:rPr>
            </w:pPr>
            <w:r w:rsidRPr="00D325AF">
              <w:rPr>
                <w:sz w:val="18"/>
                <w:szCs w:val="18"/>
              </w:rPr>
              <w:t>6.35</w:t>
            </w:r>
            <w:r w:rsidRPr="00D325AF">
              <w:rPr>
                <w:rFonts w:hint="eastAsia"/>
                <w:sz w:val="18"/>
                <w:szCs w:val="18"/>
              </w:rPr>
              <w:t xml:space="preserve"> (</w:t>
            </w:r>
            <w:r w:rsidRPr="00D325AF">
              <w:rPr>
                <w:sz w:val="18"/>
                <w:szCs w:val="18"/>
              </w:rPr>
              <w:t>12.03</w:t>
            </w:r>
            <w:r w:rsidRPr="00D325AF">
              <w:rPr>
                <w:rFonts w:hint="eastAsia"/>
                <w:sz w:val="18"/>
                <w:szCs w:val="18"/>
              </w:rPr>
              <w:t>)</w:t>
            </w:r>
          </w:p>
        </w:tc>
        <w:tc>
          <w:tcPr>
            <w:tcW w:w="0" w:type="auto"/>
            <w:noWrap/>
            <w:hideMark/>
          </w:tcPr>
          <w:p w14:paraId="2B373865" w14:textId="77777777" w:rsidR="00A15BC1" w:rsidRPr="00257E2E" w:rsidRDefault="00A15BC1" w:rsidP="00D325AF">
            <w:pPr>
              <w:spacing w:line="240" w:lineRule="auto"/>
              <w:rPr>
                <w:sz w:val="18"/>
                <w:szCs w:val="18"/>
              </w:rPr>
            </w:pPr>
          </w:p>
        </w:tc>
      </w:tr>
      <w:tr w:rsidR="00A15BC1" w:rsidRPr="00D325AF" w14:paraId="34C8ED70" w14:textId="77777777" w:rsidTr="005C3BDD">
        <w:trPr>
          <w:trHeight w:val="223"/>
        </w:trPr>
        <w:tc>
          <w:tcPr>
            <w:tcW w:w="0" w:type="auto"/>
            <w:noWrap/>
            <w:vAlign w:val="bottom"/>
            <w:hideMark/>
          </w:tcPr>
          <w:p w14:paraId="13F6F325" w14:textId="77777777" w:rsidR="00A15BC1" w:rsidRPr="00D325AF" w:rsidRDefault="00A15BC1" w:rsidP="00D325AF">
            <w:pPr>
              <w:spacing w:line="240" w:lineRule="auto"/>
              <w:rPr>
                <w:sz w:val="18"/>
                <w:szCs w:val="18"/>
              </w:rPr>
            </w:pPr>
            <w:r w:rsidRPr="00D325AF">
              <w:rPr>
                <w:sz w:val="18"/>
                <w:szCs w:val="18"/>
              </w:rPr>
              <w:t>Lymph nodes</w:t>
            </w:r>
          </w:p>
        </w:tc>
        <w:tc>
          <w:tcPr>
            <w:tcW w:w="0" w:type="auto"/>
            <w:noWrap/>
            <w:vAlign w:val="bottom"/>
            <w:hideMark/>
          </w:tcPr>
          <w:p w14:paraId="03DA9163" w14:textId="77777777" w:rsidR="00A15BC1" w:rsidRPr="00D325AF" w:rsidRDefault="00A15BC1" w:rsidP="00D325AF">
            <w:pPr>
              <w:spacing w:line="240" w:lineRule="auto"/>
              <w:rPr>
                <w:sz w:val="18"/>
                <w:szCs w:val="18"/>
              </w:rPr>
            </w:pPr>
            <w:r w:rsidRPr="00D325AF">
              <w:rPr>
                <w:sz w:val="18"/>
                <w:szCs w:val="18"/>
              </w:rPr>
              <w:t>Positive</w:t>
            </w:r>
          </w:p>
        </w:tc>
        <w:tc>
          <w:tcPr>
            <w:tcW w:w="0" w:type="auto"/>
            <w:noWrap/>
            <w:vAlign w:val="bottom"/>
            <w:hideMark/>
          </w:tcPr>
          <w:p w14:paraId="730831C1" w14:textId="20DB950C" w:rsidR="00A15BC1" w:rsidRPr="00D325AF" w:rsidRDefault="00A15BC1" w:rsidP="00D325AF">
            <w:pPr>
              <w:spacing w:line="240" w:lineRule="auto"/>
              <w:rPr>
                <w:sz w:val="18"/>
                <w:szCs w:val="18"/>
              </w:rPr>
            </w:pPr>
            <w:r w:rsidRPr="00D325AF">
              <w:rPr>
                <w:sz w:val="18"/>
                <w:szCs w:val="18"/>
              </w:rPr>
              <w:t>42 (25.3)</w:t>
            </w:r>
          </w:p>
        </w:tc>
        <w:tc>
          <w:tcPr>
            <w:tcW w:w="0" w:type="auto"/>
            <w:noWrap/>
            <w:hideMark/>
          </w:tcPr>
          <w:p w14:paraId="1C69B6CF" w14:textId="3B505284" w:rsidR="00A15BC1" w:rsidRPr="00D325AF" w:rsidRDefault="00A15BC1" w:rsidP="00D325AF">
            <w:pPr>
              <w:spacing w:line="240" w:lineRule="auto"/>
              <w:rPr>
                <w:sz w:val="18"/>
                <w:szCs w:val="18"/>
              </w:rPr>
            </w:pPr>
            <w:r w:rsidRPr="00D325AF">
              <w:rPr>
                <w:sz w:val="18"/>
                <w:szCs w:val="18"/>
              </w:rPr>
              <w:t>159.68</w:t>
            </w:r>
            <w:r w:rsidR="00BA6102" w:rsidRPr="00D325AF">
              <w:rPr>
                <w:b/>
                <w:bCs/>
                <w:sz w:val="18"/>
                <w:szCs w:val="18"/>
              </w:rPr>
              <w:t>±</w:t>
            </w:r>
            <w:r w:rsidRPr="00D325AF">
              <w:rPr>
                <w:sz w:val="18"/>
                <w:szCs w:val="18"/>
              </w:rPr>
              <w:t>44.16</w:t>
            </w:r>
          </w:p>
        </w:tc>
        <w:tc>
          <w:tcPr>
            <w:tcW w:w="0" w:type="auto"/>
            <w:noWrap/>
            <w:hideMark/>
          </w:tcPr>
          <w:p w14:paraId="1CE16F12" w14:textId="77777777" w:rsidR="00A15BC1" w:rsidRPr="00257E2E" w:rsidRDefault="00A15BC1" w:rsidP="00D325AF">
            <w:pPr>
              <w:spacing w:line="240" w:lineRule="auto"/>
              <w:rPr>
                <w:b/>
                <w:bCs/>
                <w:sz w:val="18"/>
                <w:szCs w:val="18"/>
              </w:rPr>
            </w:pPr>
            <w:r w:rsidRPr="00257E2E">
              <w:rPr>
                <w:b/>
                <w:bCs/>
                <w:sz w:val="18"/>
                <w:szCs w:val="18"/>
              </w:rPr>
              <w:t>0.046</w:t>
            </w:r>
            <w:r w:rsidRPr="00257E2E">
              <w:rPr>
                <w:rFonts w:eastAsiaTheme="minorEastAsia"/>
                <w:sz w:val="18"/>
                <w:szCs w:val="18"/>
              </w:rPr>
              <w:t>*</w:t>
            </w:r>
          </w:p>
        </w:tc>
        <w:tc>
          <w:tcPr>
            <w:tcW w:w="0" w:type="auto"/>
            <w:noWrap/>
            <w:hideMark/>
          </w:tcPr>
          <w:p w14:paraId="0F6ED857" w14:textId="09E14BBD" w:rsidR="00A15BC1" w:rsidRPr="00D325AF" w:rsidRDefault="00A15BC1" w:rsidP="00D325AF">
            <w:pPr>
              <w:spacing w:line="240" w:lineRule="auto"/>
              <w:rPr>
                <w:sz w:val="18"/>
                <w:szCs w:val="18"/>
              </w:rPr>
            </w:pPr>
            <w:r w:rsidRPr="00D325AF">
              <w:rPr>
                <w:sz w:val="18"/>
                <w:szCs w:val="18"/>
              </w:rPr>
              <w:t>7.68</w:t>
            </w:r>
            <w:r w:rsidRPr="00D325AF">
              <w:rPr>
                <w:rFonts w:hint="eastAsia"/>
                <w:sz w:val="18"/>
                <w:szCs w:val="18"/>
              </w:rPr>
              <w:t xml:space="preserve"> (</w:t>
            </w:r>
            <w:r w:rsidRPr="00D325AF">
              <w:rPr>
                <w:sz w:val="18"/>
                <w:szCs w:val="18"/>
              </w:rPr>
              <w:t>24.29</w:t>
            </w:r>
            <w:r w:rsidRPr="00D325AF">
              <w:rPr>
                <w:rFonts w:hint="eastAsia"/>
                <w:sz w:val="18"/>
                <w:szCs w:val="18"/>
              </w:rPr>
              <w:t>)</w:t>
            </w:r>
          </w:p>
        </w:tc>
        <w:tc>
          <w:tcPr>
            <w:tcW w:w="0" w:type="auto"/>
            <w:noWrap/>
            <w:hideMark/>
          </w:tcPr>
          <w:p w14:paraId="5F50AB4F" w14:textId="77777777" w:rsidR="00A15BC1" w:rsidRPr="00257E2E" w:rsidRDefault="00A15BC1" w:rsidP="00D325AF">
            <w:pPr>
              <w:spacing w:line="240" w:lineRule="auto"/>
              <w:rPr>
                <w:b/>
                <w:bCs/>
                <w:sz w:val="18"/>
                <w:szCs w:val="18"/>
              </w:rPr>
            </w:pPr>
            <w:r w:rsidRPr="00257E2E">
              <w:rPr>
                <w:b/>
                <w:bCs/>
                <w:sz w:val="18"/>
                <w:szCs w:val="18"/>
              </w:rPr>
              <w:t>0.030</w:t>
            </w:r>
            <w:r w:rsidRPr="00257E2E">
              <w:rPr>
                <w:rFonts w:eastAsiaTheme="minorEastAsia"/>
                <w:sz w:val="18"/>
                <w:szCs w:val="18"/>
              </w:rPr>
              <w:t>*</w:t>
            </w:r>
          </w:p>
        </w:tc>
      </w:tr>
      <w:tr w:rsidR="00A15BC1" w:rsidRPr="00D325AF" w14:paraId="6316DC30" w14:textId="77777777" w:rsidTr="005C3BDD">
        <w:trPr>
          <w:trHeight w:val="223"/>
        </w:trPr>
        <w:tc>
          <w:tcPr>
            <w:tcW w:w="0" w:type="auto"/>
            <w:noWrap/>
            <w:vAlign w:val="bottom"/>
            <w:hideMark/>
          </w:tcPr>
          <w:p w14:paraId="1B499F35" w14:textId="77777777" w:rsidR="00A15BC1" w:rsidRPr="00D325AF" w:rsidRDefault="00A15BC1" w:rsidP="00D325AF">
            <w:pPr>
              <w:spacing w:line="240" w:lineRule="auto"/>
              <w:rPr>
                <w:sz w:val="18"/>
                <w:szCs w:val="18"/>
              </w:rPr>
            </w:pPr>
          </w:p>
        </w:tc>
        <w:tc>
          <w:tcPr>
            <w:tcW w:w="0" w:type="auto"/>
            <w:noWrap/>
            <w:vAlign w:val="bottom"/>
            <w:hideMark/>
          </w:tcPr>
          <w:p w14:paraId="726D6C99" w14:textId="77777777" w:rsidR="00A15BC1" w:rsidRPr="00D325AF" w:rsidRDefault="00A15BC1" w:rsidP="00D325AF">
            <w:pPr>
              <w:spacing w:line="240" w:lineRule="auto"/>
              <w:rPr>
                <w:sz w:val="18"/>
                <w:szCs w:val="18"/>
              </w:rPr>
            </w:pPr>
            <w:r w:rsidRPr="00D325AF">
              <w:rPr>
                <w:sz w:val="18"/>
                <w:szCs w:val="18"/>
              </w:rPr>
              <w:t>Negative</w:t>
            </w:r>
          </w:p>
        </w:tc>
        <w:tc>
          <w:tcPr>
            <w:tcW w:w="0" w:type="auto"/>
            <w:noWrap/>
            <w:vAlign w:val="bottom"/>
            <w:hideMark/>
          </w:tcPr>
          <w:p w14:paraId="6AEC1A32" w14:textId="22F1B152" w:rsidR="00A15BC1" w:rsidRPr="00D325AF" w:rsidRDefault="00A15BC1" w:rsidP="00D325AF">
            <w:pPr>
              <w:spacing w:line="240" w:lineRule="auto"/>
              <w:rPr>
                <w:sz w:val="18"/>
                <w:szCs w:val="18"/>
              </w:rPr>
            </w:pPr>
            <w:r w:rsidRPr="00D325AF">
              <w:rPr>
                <w:sz w:val="18"/>
                <w:szCs w:val="18"/>
              </w:rPr>
              <w:t>124 (74.7)</w:t>
            </w:r>
          </w:p>
        </w:tc>
        <w:tc>
          <w:tcPr>
            <w:tcW w:w="0" w:type="auto"/>
            <w:noWrap/>
            <w:hideMark/>
          </w:tcPr>
          <w:p w14:paraId="7EB5F0AA" w14:textId="5B49939F" w:rsidR="00A15BC1" w:rsidRPr="00D325AF" w:rsidRDefault="00A15BC1" w:rsidP="00D325AF">
            <w:pPr>
              <w:spacing w:line="240" w:lineRule="auto"/>
              <w:rPr>
                <w:sz w:val="18"/>
                <w:szCs w:val="18"/>
              </w:rPr>
            </w:pPr>
            <w:r w:rsidRPr="00D325AF">
              <w:rPr>
                <w:sz w:val="18"/>
                <w:szCs w:val="18"/>
              </w:rPr>
              <w:t>139.23</w:t>
            </w:r>
            <w:r w:rsidR="00BA6102" w:rsidRPr="00D325AF">
              <w:rPr>
                <w:b/>
                <w:bCs/>
                <w:sz w:val="18"/>
                <w:szCs w:val="18"/>
              </w:rPr>
              <w:t>±</w:t>
            </w:r>
            <w:r w:rsidRPr="00D325AF">
              <w:rPr>
                <w:sz w:val="18"/>
                <w:szCs w:val="18"/>
              </w:rPr>
              <w:t>60.56</w:t>
            </w:r>
          </w:p>
        </w:tc>
        <w:tc>
          <w:tcPr>
            <w:tcW w:w="0" w:type="auto"/>
            <w:noWrap/>
            <w:hideMark/>
          </w:tcPr>
          <w:p w14:paraId="0A623431" w14:textId="77777777" w:rsidR="00A15BC1" w:rsidRPr="00D325AF" w:rsidRDefault="00A15BC1" w:rsidP="00D325AF">
            <w:pPr>
              <w:spacing w:line="240" w:lineRule="auto"/>
              <w:rPr>
                <w:sz w:val="18"/>
                <w:szCs w:val="18"/>
              </w:rPr>
            </w:pPr>
          </w:p>
        </w:tc>
        <w:tc>
          <w:tcPr>
            <w:tcW w:w="0" w:type="auto"/>
            <w:noWrap/>
            <w:hideMark/>
          </w:tcPr>
          <w:p w14:paraId="7478E801" w14:textId="499ABDCA" w:rsidR="00A15BC1" w:rsidRPr="00D325AF" w:rsidRDefault="00A15BC1" w:rsidP="00D325AF">
            <w:pPr>
              <w:spacing w:line="240" w:lineRule="auto"/>
              <w:rPr>
                <w:sz w:val="18"/>
                <w:szCs w:val="18"/>
              </w:rPr>
            </w:pPr>
            <w:r w:rsidRPr="00D325AF">
              <w:rPr>
                <w:sz w:val="18"/>
                <w:szCs w:val="18"/>
              </w:rPr>
              <w:t>5.14</w:t>
            </w:r>
            <w:r w:rsidRPr="00D325AF">
              <w:rPr>
                <w:rFonts w:hint="eastAsia"/>
                <w:sz w:val="18"/>
                <w:szCs w:val="18"/>
              </w:rPr>
              <w:t xml:space="preserve"> (</w:t>
            </w:r>
            <w:r w:rsidRPr="00D325AF">
              <w:rPr>
                <w:sz w:val="18"/>
                <w:szCs w:val="18"/>
              </w:rPr>
              <w:t>10.28</w:t>
            </w:r>
            <w:r w:rsidRPr="00D325AF">
              <w:rPr>
                <w:rFonts w:hint="eastAsia"/>
                <w:sz w:val="18"/>
                <w:szCs w:val="18"/>
              </w:rPr>
              <w:t>)</w:t>
            </w:r>
          </w:p>
        </w:tc>
        <w:tc>
          <w:tcPr>
            <w:tcW w:w="0" w:type="auto"/>
            <w:noWrap/>
            <w:hideMark/>
          </w:tcPr>
          <w:p w14:paraId="31BAB74D" w14:textId="77777777" w:rsidR="00A15BC1" w:rsidRPr="00257E2E" w:rsidRDefault="00A15BC1" w:rsidP="00D325AF">
            <w:pPr>
              <w:spacing w:line="240" w:lineRule="auto"/>
              <w:rPr>
                <w:sz w:val="18"/>
                <w:szCs w:val="18"/>
              </w:rPr>
            </w:pPr>
          </w:p>
        </w:tc>
      </w:tr>
      <w:tr w:rsidR="00A15BC1" w:rsidRPr="00D325AF" w14:paraId="6C1E4CDA" w14:textId="77777777" w:rsidTr="005C3BDD">
        <w:trPr>
          <w:trHeight w:val="223"/>
        </w:trPr>
        <w:tc>
          <w:tcPr>
            <w:tcW w:w="0" w:type="auto"/>
            <w:noWrap/>
            <w:vAlign w:val="bottom"/>
            <w:hideMark/>
          </w:tcPr>
          <w:p w14:paraId="7F0A07C2" w14:textId="77777777" w:rsidR="00A15BC1" w:rsidRPr="00D325AF" w:rsidRDefault="00A15BC1" w:rsidP="00D325AF">
            <w:pPr>
              <w:spacing w:line="240" w:lineRule="auto"/>
              <w:rPr>
                <w:sz w:val="18"/>
                <w:szCs w:val="18"/>
              </w:rPr>
            </w:pPr>
            <w:r w:rsidRPr="00D325AF">
              <w:rPr>
                <w:sz w:val="18"/>
                <w:szCs w:val="18"/>
              </w:rPr>
              <w:t>AJCC stage</w:t>
            </w:r>
          </w:p>
        </w:tc>
        <w:tc>
          <w:tcPr>
            <w:tcW w:w="0" w:type="auto"/>
            <w:noWrap/>
            <w:vAlign w:val="bottom"/>
            <w:hideMark/>
          </w:tcPr>
          <w:p w14:paraId="3ED89403" w14:textId="77777777" w:rsidR="00A15BC1" w:rsidRPr="00D325AF" w:rsidRDefault="00A15BC1" w:rsidP="00D325AF">
            <w:pPr>
              <w:spacing w:line="240" w:lineRule="auto"/>
              <w:rPr>
                <w:sz w:val="18"/>
                <w:szCs w:val="18"/>
              </w:rPr>
            </w:pPr>
            <w:r w:rsidRPr="00D325AF">
              <w:rPr>
                <w:rFonts w:cs="Times New Roman"/>
                <w:sz w:val="18"/>
                <w:szCs w:val="18"/>
              </w:rPr>
              <w:t>Ⅰ</w:t>
            </w:r>
          </w:p>
        </w:tc>
        <w:tc>
          <w:tcPr>
            <w:tcW w:w="0" w:type="auto"/>
            <w:noWrap/>
            <w:vAlign w:val="bottom"/>
            <w:hideMark/>
          </w:tcPr>
          <w:p w14:paraId="15B31EB8" w14:textId="2D2C66F7" w:rsidR="00A15BC1" w:rsidRPr="00D325AF" w:rsidRDefault="00A15BC1" w:rsidP="00D325AF">
            <w:pPr>
              <w:spacing w:line="240" w:lineRule="auto"/>
              <w:rPr>
                <w:sz w:val="18"/>
                <w:szCs w:val="18"/>
              </w:rPr>
            </w:pPr>
            <w:r w:rsidRPr="00D325AF">
              <w:rPr>
                <w:sz w:val="18"/>
                <w:szCs w:val="18"/>
              </w:rPr>
              <w:t>41 (24.7)</w:t>
            </w:r>
          </w:p>
        </w:tc>
        <w:tc>
          <w:tcPr>
            <w:tcW w:w="0" w:type="auto"/>
            <w:noWrap/>
            <w:hideMark/>
          </w:tcPr>
          <w:p w14:paraId="13AE3457" w14:textId="185E3C5B" w:rsidR="00A15BC1" w:rsidRPr="00D325AF" w:rsidRDefault="00A15BC1" w:rsidP="00D325AF">
            <w:pPr>
              <w:spacing w:line="240" w:lineRule="auto"/>
              <w:rPr>
                <w:sz w:val="18"/>
                <w:szCs w:val="18"/>
              </w:rPr>
            </w:pPr>
            <w:r w:rsidRPr="00D325AF">
              <w:rPr>
                <w:sz w:val="18"/>
                <w:szCs w:val="18"/>
              </w:rPr>
              <w:t>139.08</w:t>
            </w:r>
            <w:r w:rsidR="00BA6102" w:rsidRPr="00D325AF">
              <w:rPr>
                <w:b/>
                <w:bCs/>
                <w:sz w:val="18"/>
                <w:szCs w:val="18"/>
              </w:rPr>
              <w:t>±</w:t>
            </w:r>
            <w:r w:rsidRPr="00D325AF">
              <w:rPr>
                <w:sz w:val="18"/>
                <w:szCs w:val="18"/>
              </w:rPr>
              <w:t>54.87</w:t>
            </w:r>
          </w:p>
        </w:tc>
        <w:tc>
          <w:tcPr>
            <w:tcW w:w="0" w:type="auto"/>
            <w:noWrap/>
            <w:hideMark/>
          </w:tcPr>
          <w:p w14:paraId="22EA258F" w14:textId="77777777" w:rsidR="00A15BC1" w:rsidRPr="00D325AF" w:rsidRDefault="00A15BC1" w:rsidP="00D325AF">
            <w:pPr>
              <w:spacing w:line="240" w:lineRule="auto"/>
              <w:rPr>
                <w:sz w:val="18"/>
                <w:szCs w:val="18"/>
              </w:rPr>
            </w:pPr>
            <w:r w:rsidRPr="00D325AF">
              <w:rPr>
                <w:sz w:val="18"/>
                <w:szCs w:val="18"/>
              </w:rPr>
              <w:t>0.128</w:t>
            </w:r>
          </w:p>
        </w:tc>
        <w:tc>
          <w:tcPr>
            <w:tcW w:w="0" w:type="auto"/>
            <w:noWrap/>
            <w:hideMark/>
          </w:tcPr>
          <w:p w14:paraId="0BAFAEE7" w14:textId="590FD197" w:rsidR="00A15BC1" w:rsidRPr="00D325AF" w:rsidRDefault="00A15BC1" w:rsidP="00D325AF">
            <w:pPr>
              <w:spacing w:line="240" w:lineRule="auto"/>
              <w:rPr>
                <w:sz w:val="18"/>
                <w:szCs w:val="18"/>
              </w:rPr>
            </w:pPr>
            <w:r w:rsidRPr="00D325AF">
              <w:rPr>
                <w:sz w:val="18"/>
                <w:szCs w:val="18"/>
              </w:rPr>
              <w:t>4.84</w:t>
            </w:r>
            <w:r w:rsidRPr="00D325AF">
              <w:rPr>
                <w:rFonts w:hint="eastAsia"/>
                <w:sz w:val="18"/>
                <w:szCs w:val="18"/>
              </w:rPr>
              <w:t xml:space="preserve"> (</w:t>
            </w:r>
            <w:r w:rsidRPr="00D325AF">
              <w:rPr>
                <w:sz w:val="18"/>
                <w:szCs w:val="18"/>
              </w:rPr>
              <w:t>6.75</w:t>
            </w:r>
            <w:r w:rsidRPr="00D325AF">
              <w:rPr>
                <w:rFonts w:hint="eastAsia"/>
                <w:sz w:val="18"/>
                <w:szCs w:val="18"/>
              </w:rPr>
              <w:t>)</w:t>
            </w:r>
          </w:p>
        </w:tc>
        <w:tc>
          <w:tcPr>
            <w:tcW w:w="0" w:type="auto"/>
            <w:noWrap/>
            <w:hideMark/>
          </w:tcPr>
          <w:p w14:paraId="32A12BE9" w14:textId="77777777" w:rsidR="00A15BC1" w:rsidRPr="00257E2E" w:rsidRDefault="00A15BC1" w:rsidP="00D325AF">
            <w:pPr>
              <w:spacing w:line="240" w:lineRule="auto"/>
              <w:rPr>
                <w:sz w:val="18"/>
                <w:szCs w:val="18"/>
              </w:rPr>
            </w:pPr>
            <w:r w:rsidRPr="00257E2E">
              <w:rPr>
                <w:sz w:val="18"/>
                <w:szCs w:val="18"/>
              </w:rPr>
              <w:t>0.083</w:t>
            </w:r>
          </w:p>
        </w:tc>
      </w:tr>
      <w:tr w:rsidR="00A15BC1" w:rsidRPr="00D325AF" w14:paraId="07E21D1F" w14:textId="77777777" w:rsidTr="005C3BDD">
        <w:trPr>
          <w:trHeight w:val="223"/>
        </w:trPr>
        <w:tc>
          <w:tcPr>
            <w:tcW w:w="0" w:type="auto"/>
            <w:noWrap/>
            <w:vAlign w:val="bottom"/>
            <w:hideMark/>
          </w:tcPr>
          <w:p w14:paraId="617744C6" w14:textId="77777777" w:rsidR="00A15BC1" w:rsidRPr="00D325AF" w:rsidRDefault="00A15BC1" w:rsidP="00D325AF">
            <w:pPr>
              <w:spacing w:line="240" w:lineRule="auto"/>
              <w:rPr>
                <w:sz w:val="18"/>
                <w:szCs w:val="18"/>
              </w:rPr>
            </w:pPr>
          </w:p>
        </w:tc>
        <w:tc>
          <w:tcPr>
            <w:tcW w:w="0" w:type="auto"/>
            <w:noWrap/>
            <w:vAlign w:val="bottom"/>
            <w:hideMark/>
          </w:tcPr>
          <w:p w14:paraId="37964A41" w14:textId="77777777" w:rsidR="00A15BC1" w:rsidRPr="00D325AF" w:rsidRDefault="00A15BC1" w:rsidP="00D325AF">
            <w:pPr>
              <w:spacing w:line="240" w:lineRule="auto"/>
              <w:rPr>
                <w:sz w:val="18"/>
                <w:szCs w:val="18"/>
              </w:rPr>
            </w:pPr>
            <w:r w:rsidRPr="00D325AF">
              <w:rPr>
                <w:rFonts w:cs="Times New Roman"/>
                <w:sz w:val="18"/>
                <w:szCs w:val="18"/>
              </w:rPr>
              <w:t>Ⅱ</w:t>
            </w:r>
          </w:p>
        </w:tc>
        <w:tc>
          <w:tcPr>
            <w:tcW w:w="0" w:type="auto"/>
            <w:noWrap/>
            <w:vAlign w:val="bottom"/>
            <w:hideMark/>
          </w:tcPr>
          <w:p w14:paraId="1BAB6FCA" w14:textId="1B76D2D9" w:rsidR="00A15BC1" w:rsidRPr="00D325AF" w:rsidRDefault="00A15BC1" w:rsidP="00D325AF">
            <w:pPr>
              <w:spacing w:line="240" w:lineRule="auto"/>
              <w:rPr>
                <w:sz w:val="18"/>
                <w:szCs w:val="18"/>
              </w:rPr>
            </w:pPr>
            <w:r w:rsidRPr="00D325AF">
              <w:rPr>
                <w:sz w:val="18"/>
                <w:szCs w:val="18"/>
              </w:rPr>
              <w:t>55 (33.1)</w:t>
            </w:r>
          </w:p>
        </w:tc>
        <w:tc>
          <w:tcPr>
            <w:tcW w:w="0" w:type="auto"/>
            <w:noWrap/>
            <w:hideMark/>
          </w:tcPr>
          <w:p w14:paraId="1AEC5980" w14:textId="56FE9993" w:rsidR="00A15BC1" w:rsidRPr="00D325AF" w:rsidRDefault="00A15BC1" w:rsidP="00D325AF">
            <w:pPr>
              <w:spacing w:line="240" w:lineRule="auto"/>
              <w:rPr>
                <w:sz w:val="18"/>
                <w:szCs w:val="18"/>
              </w:rPr>
            </w:pPr>
            <w:r w:rsidRPr="00D325AF">
              <w:rPr>
                <w:sz w:val="18"/>
                <w:szCs w:val="18"/>
              </w:rPr>
              <w:t>135.60</w:t>
            </w:r>
            <w:r w:rsidR="00BA6102" w:rsidRPr="00D325AF">
              <w:rPr>
                <w:b/>
                <w:bCs/>
                <w:sz w:val="18"/>
                <w:szCs w:val="18"/>
              </w:rPr>
              <w:t>±</w:t>
            </w:r>
            <w:r w:rsidRPr="00D325AF">
              <w:rPr>
                <w:sz w:val="18"/>
                <w:szCs w:val="18"/>
              </w:rPr>
              <w:t>60.65</w:t>
            </w:r>
          </w:p>
        </w:tc>
        <w:tc>
          <w:tcPr>
            <w:tcW w:w="0" w:type="auto"/>
            <w:noWrap/>
            <w:hideMark/>
          </w:tcPr>
          <w:p w14:paraId="3890D0B6" w14:textId="77777777" w:rsidR="00A15BC1" w:rsidRPr="00D325AF" w:rsidRDefault="00A15BC1" w:rsidP="00D325AF">
            <w:pPr>
              <w:spacing w:line="240" w:lineRule="auto"/>
              <w:rPr>
                <w:sz w:val="18"/>
                <w:szCs w:val="18"/>
              </w:rPr>
            </w:pPr>
          </w:p>
        </w:tc>
        <w:tc>
          <w:tcPr>
            <w:tcW w:w="0" w:type="auto"/>
            <w:noWrap/>
            <w:hideMark/>
          </w:tcPr>
          <w:p w14:paraId="26A39BE1" w14:textId="34352559" w:rsidR="00A15BC1" w:rsidRPr="00D325AF" w:rsidRDefault="00A15BC1" w:rsidP="00D325AF">
            <w:pPr>
              <w:spacing w:line="240" w:lineRule="auto"/>
              <w:rPr>
                <w:sz w:val="18"/>
                <w:szCs w:val="18"/>
              </w:rPr>
            </w:pPr>
            <w:r w:rsidRPr="00D325AF">
              <w:rPr>
                <w:sz w:val="18"/>
                <w:szCs w:val="18"/>
              </w:rPr>
              <w:t>4.82</w:t>
            </w:r>
            <w:r w:rsidRPr="00D325AF">
              <w:rPr>
                <w:rFonts w:hint="eastAsia"/>
                <w:sz w:val="18"/>
                <w:szCs w:val="18"/>
              </w:rPr>
              <w:t xml:space="preserve"> (</w:t>
            </w:r>
            <w:r w:rsidRPr="00D325AF">
              <w:rPr>
                <w:sz w:val="18"/>
                <w:szCs w:val="18"/>
              </w:rPr>
              <w:t>14.40</w:t>
            </w:r>
            <w:r w:rsidRPr="00D325AF">
              <w:rPr>
                <w:rFonts w:hint="eastAsia"/>
                <w:sz w:val="18"/>
                <w:szCs w:val="18"/>
              </w:rPr>
              <w:t>)</w:t>
            </w:r>
          </w:p>
        </w:tc>
        <w:tc>
          <w:tcPr>
            <w:tcW w:w="0" w:type="auto"/>
            <w:noWrap/>
            <w:hideMark/>
          </w:tcPr>
          <w:p w14:paraId="2455BA8B" w14:textId="77777777" w:rsidR="00A15BC1" w:rsidRPr="00257E2E" w:rsidRDefault="00A15BC1" w:rsidP="00D325AF">
            <w:pPr>
              <w:spacing w:line="240" w:lineRule="auto"/>
              <w:rPr>
                <w:sz w:val="18"/>
                <w:szCs w:val="18"/>
              </w:rPr>
            </w:pPr>
          </w:p>
        </w:tc>
      </w:tr>
      <w:tr w:rsidR="00A15BC1" w:rsidRPr="00D325AF" w14:paraId="139DF72C" w14:textId="77777777" w:rsidTr="005C3BDD">
        <w:trPr>
          <w:trHeight w:val="223"/>
        </w:trPr>
        <w:tc>
          <w:tcPr>
            <w:tcW w:w="0" w:type="auto"/>
            <w:noWrap/>
            <w:vAlign w:val="bottom"/>
            <w:hideMark/>
          </w:tcPr>
          <w:p w14:paraId="0883F1B3" w14:textId="77777777" w:rsidR="00A15BC1" w:rsidRPr="00D325AF" w:rsidRDefault="00A15BC1" w:rsidP="00D325AF">
            <w:pPr>
              <w:spacing w:line="240" w:lineRule="auto"/>
              <w:rPr>
                <w:rFonts w:eastAsia="Times New Roman" w:cs="Times New Roman"/>
                <w:sz w:val="18"/>
                <w:szCs w:val="18"/>
              </w:rPr>
            </w:pPr>
          </w:p>
        </w:tc>
        <w:tc>
          <w:tcPr>
            <w:tcW w:w="0" w:type="auto"/>
            <w:noWrap/>
            <w:vAlign w:val="bottom"/>
            <w:hideMark/>
          </w:tcPr>
          <w:p w14:paraId="48DC25C9" w14:textId="77777777" w:rsidR="00A15BC1" w:rsidRPr="00D325AF" w:rsidRDefault="00A15BC1" w:rsidP="00D325AF">
            <w:pPr>
              <w:spacing w:line="240" w:lineRule="auto"/>
              <w:rPr>
                <w:sz w:val="18"/>
                <w:szCs w:val="18"/>
              </w:rPr>
            </w:pPr>
            <w:r w:rsidRPr="00D325AF">
              <w:rPr>
                <w:rFonts w:cs="Times New Roman"/>
                <w:sz w:val="18"/>
                <w:szCs w:val="18"/>
              </w:rPr>
              <w:t>Ⅲ</w:t>
            </w:r>
          </w:p>
        </w:tc>
        <w:tc>
          <w:tcPr>
            <w:tcW w:w="0" w:type="auto"/>
            <w:noWrap/>
            <w:vAlign w:val="bottom"/>
            <w:hideMark/>
          </w:tcPr>
          <w:p w14:paraId="40A26DFB" w14:textId="38837C64" w:rsidR="00A15BC1" w:rsidRPr="00D325AF" w:rsidRDefault="00A15BC1" w:rsidP="00D325AF">
            <w:pPr>
              <w:spacing w:line="240" w:lineRule="auto"/>
              <w:rPr>
                <w:sz w:val="18"/>
                <w:szCs w:val="18"/>
              </w:rPr>
            </w:pPr>
            <w:r w:rsidRPr="00D325AF">
              <w:rPr>
                <w:sz w:val="18"/>
                <w:szCs w:val="18"/>
              </w:rPr>
              <w:t>52 (31.3)</w:t>
            </w:r>
          </w:p>
        </w:tc>
        <w:tc>
          <w:tcPr>
            <w:tcW w:w="0" w:type="auto"/>
            <w:noWrap/>
            <w:hideMark/>
          </w:tcPr>
          <w:p w14:paraId="3262077B" w14:textId="12EE5893" w:rsidR="00A15BC1" w:rsidRPr="00D325AF" w:rsidRDefault="00A15BC1" w:rsidP="00D325AF">
            <w:pPr>
              <w:spacing w:line="240" w:lineRule="auto"/>
              <w:rPr>
                <w:sz w:val="18"/>
                <w:szCs w:val="18"/>
              </w:rPr>
            </w:pPr>
            <w:r w:rsidRPr="00D325AF">
              <w:rPr>
                <w:sz w:val="18"/>
                <w:szCs w:val="18"/>
              </w:rPr>
              <w:t>148.88</w:t>
            </w:r>
            <w:r w:rsidR="00BA6102" w:rsidRPr="00D325AF">
              <w:rPr>
                <w:b/>
                <w:bCs/>
                <w:sz w:val="18"/>
                <w:szCs w:val="18"/>
              </w:rPr>
              <w:t>±</w:t>
            </w:r>
            <w:r w:rsidRPr="00D325AF">
              <w:rPr>
                <w:sz w:val="18"/>
                <w:szCs w:val="18"/>
              </w:rPr>
              <w:t>59.71</w:t>
            </w:r>
          </w:p>
        </w:tc>
        <w:tc>
          <w:tcPr>
            <w:tcW w:w="0" w:type="auto"/>
            <w:noWrap/>
            <w:hideMark/>
          </w:tcPr>
          <w:p w14:paraId="41C6680D" w14:textId="77777777" w:rsidR="00A15BC1" w:rsidRPr="00D325AF" w:rsidRDefault="00A15BC1" w:rsidP="00D325AF">
            <w:pPr>
              <w:spacing w:line="240" w:lineRule="auto"/>
              <w:rPr>
                <w:sz w:val="18"/>
                <w:szCs w:val="18"/>
              </w:rPr>
            </w:pPr>
          </w:p>
        </w:tc>
        <w:tc>
          <w:tcPr>
            <w:tcW w:w="0" w:type="auto"/>
            <w:noWrap/>
            <w:hideMark/>
          </w:tcPr>
          <w:p w14:paraId="739284AD" w14:textId="1CC4D3B2" w:rsidR="00A15BC1" w:rsidRPr="00D325AF" w:rsidRDefault="00A15BC1" w:rsidP="00D325AF">
            <w:pPr>
              <w:spacing w:line="240" w:lineRule="auto"/>
              <w:rPr>
                <w:sz w:val="18"/>
                <w:szCs w:val="18"/>
              </w:rPr>
            </w:pPr>
            <w:r w:rsidRPr="00D325AF">
              <w:rPr>
                <w:sz w:val="18"/>
                <w:szCs w:val="18"/>
              </w:rPr>
              <w:t>6.98</w:t>
            </w:r>
            <w:r w:rsidRPr="00D325AF">
              <w:rPr>
                <w:rFonts w:hint="eastAsia"/>
                <w:sz w:val="18"/>
                <w:szCs w:val="18"/>
              </w:rPr>
              <w:t xml:space="preserve"> (</w:t>
            </w:r>
            <w:r w:rsidRPr="00D325AF">
              <w:rPr>
                <w:sz w:val="18"/>
                <w:szCs w:val="18"/>
              </w:rPr>
              <w:t>13.36</w:t>
            </w:r>
            <w:r w:rsidRPr="00D325AF">
              <w:rPr>
                <w:rFonts w:hint="eastAsia"/>
                <w:sz w:val="18"/>
                <w:szCs w:val="18"/>
              </w:rPr>
              <w:t>)</w:t>
            </w:r>
          </w:p>
        </w:tc>
        <w:tc>
          <w:tcPr>
            <w:tcW w:w="0" w:type="auto"/>
            <w:noWrap/>
            <w:hideMark/>
          </w:tcPr>
          <w:p w14:paraId="20B9D145" w14:textId="77777777" w:rsidR="00A15BC1" w:rsidRPr="00257E2E" w:rsidRDefault="00A15BC1" w:rsidP="00D325AF">
            <w:pPr>
              <w:spacing w:line="240" w:lineRule="auto"/>
              <w:rPr>
                <w:sz w:val="18"/>
                <w:szCs w:val="18"/>
              </w:rPr>
            </w:pPr>
          </w:p>
        </w:tc>
      </w:tr>
      <w:tr w:rsidR="00A15BC1" w:rsidRPr="00D325AF" w14:paraId="6DEE06E4" w14:textId="77777777" w:rsidTr="005C3BDD">
        <w:trPr>
          <w:trHeight w:val="223"/>
        </w:trPr>
        <w:tc>
          <w:tcPr>
            <w:tcW w:w="0" w:type="auto"/>
            <w:noWrap/>
            <w:vAlign w:val="bottom"/>
            <w:hideMark/>
          </w:tcPr>
          <w:p w14:paraId="2E2001D1" w14:textId="77777777" w:rsidR="00A15BC1" w:rsidRPr="00D325AF" w:rsidRDefault="00A15BC1" w:rsidP="00D325AF">
            <w:pPr>
              <w:spacing w:line="240" w:lineRule="auto"/>
              <w:rPr>
                <w:rFonts w:eastAsia="Times New Roman" w:cs="Times New Roman"/>
                <w:sz w:val="18"/>
                <w:szCs w:val="18"/>
              </w:rPr>
            </w:pPr>
          </w:p>
        </w:tc>
        <w:tc>
          <w:tcPr>
            <w:tcW w:w="0" w:type="auto"/>
            <w:noWrap/>
            <w:vAlign w:val="bottom"/>
            <w:hideMark/>
          </w:tcPr>
          <w:p w14:paraId="1CF2768F" w14:textId="77777777" w:rsidR="00A15BC1" w:rsidRPr="00D325AF" w:rsidRDefault="00A15BC1" w:rsidP="00D325AF">
            <w:pPr>
              <w:spacing w:line="240" w:lineRule="auto"/>
              <w:rPr>
                <w:rFonts w:cs="Times New Roman"/>
                <w:sz w:val="18"/>
                <w:szCs w:val="18"/>
              </w:rPr>
            </w:pPr>
            <w:r w:rsidRPr="00D325AF">
              <w:rPr>
                <w:rFonts w:cs="Times New Roman"/>
                <w:sz w:val="18"/>
                <w:szCs w:val="18"/>
              </w:rPr>
              <w:t>Ⅳ</w:t>
            </w:r>
          </w:p>
        </w:tc>
        <w:tc>
          <w:tcPr>
            <w:tcW w:w="0" w:type="auto"/>
            <w:noWrap/>
            <w:vAlign w:val="bottom"/>
            <w:hideMark/>
          </w:tcPr>
          <w:p w14:paraId="1CBB184E" w14:textId="496C7325" w:rsidR="00A15BC1" w:rsidRPr="00D325AF" w:rsidRDefault="00A15BC1" w:rsidP="00D325AF">
            <w:pPr>
              <w:spacing w:line="240" w:lineRule="auto"/>
              <w:rPr>
                <w:sz w:val="18"/>
                <w:szCs w:val="18"/>
              </w:rPr>
            </w:pPr>
            <w:r w:rsidRPr="00D325AF">
              <w:rPr>
                <w:sz w:val="18"/>
                <w:szCs w:val="18"/>
              </w:rPr>
              <w:t>18 (10.</w:t>
            </w:r>
            <w:r w:rsidRPr="00D325AF">
              <w:rPr>
                <w:rFonts w:hint="eastAsia"/>
                <w:sz w:val="18"/>
                <w:szCs w:val="18"/>
              </w:rPr>
              <w:t>9</w:t>
            </w:r>
            <w:r w:rsidRPr="00D325AF">
              <w:rPr>
                <w:sz w:val="18"/>
                <w:szCs w:val="18"/>
              </w:rPr>
              <w:t>)</w:t>
            </w:r>
          </w:p>
        </w:tc>
        <w:tc>
          <w:tcPr>
            <w:tcW w:w="0" w:type="auto"/>
            <w:noWrap/>
            <w:hideMark/>
          </w:tcPr>
          <w:p w14:paraId="50A01F55" w14:textId="1AD97DE7" w:rsidR="00A15BC1" w:rsidRPr="00D325AF" w:rsidRDefault="00A15BC1" w:rsidP="00D325AF">
            <w:pPr>
              <w:spacing w:line="240" w:lineRule="auto"/>
              <w:rPr>
                <w:sz w:val="18"/>
                <w:szCs w:val="18"/>
              </w:rPr>
            </w:pPr>
            <w:r w:rsidRPr="00D325AF">
              <w:rPr>
                <w:sz w:val="18"/>
                <w:szCs w:val="18"/>
              </w:rPr>
              <w:t>170.52</w:t>
            </w:r>
            <w:r w:rsidR="00BA6102" w:rsidRPr="00D325AF">
              <w:rPr>
                <w:b/>
                <w:bCs/>
                <w:sz w:val="18"/>
                <w:szCs w:val="18"/>
              </w:rPr>
              <w:t>±</w:t>
            </w:r>
            <w:r w:rsidRPr="00D325AF">
              <w:rPr>
                <w:sz w:val="18"/>
                <w:szCs w:val="18"/>
              </w:rPr>
              <w:t>38.02</w:t>
            </w:r>
          </w:p>
        </w:tc>
        <w:tc>
          <w:tcPr>
            <w:tcW w:w="0" w:type="auto"/>
            <w:noWrap/>
            <w:hideMark/>
          </w:tcPr>
          <w:p w14:paraId="6730640C" w14:textId="77777777" w:rsidR="00A15BC1" w:rsidRPr="00D325AF" w:rsidRDefault="00A15BC1" w:rsidP="00D325AF">
            <w:pPr>
              <w:spacing w:line="240" w:lineRule="auto"/>
              <w:rPr>
                <w:sz w:val="18"/>
                <w:szCs w:val="18"/>
              </w:rPr>
            </w:pPr>
          </w:p>
        </w:tc>
        <w:tc>
          <w:tcPr>
            <w:tcW w:w="0" w:type="auto"/>
            <w:noWrap/>
            <w:hideMark/>
          </w:tcPr>
          <w:p w14:paraId="467B0031" w14:textId="38AC4F17" w:rsidR="00A15BC1" w:rsidRPr="00D325AF" w:rsidRDefault="00A15BC1" w:rsidP="00D325AF">
            <w:pPr>
              <w:spacing w:line="240" w:lineRule="auto"/>
              <w:rPr>
                <w:sz w:val="18"/>
                <w:szCs w:val="18"/>
              </w:rPr>
            </w:pPr>
            <w:r w:rsidRPr="00D325AF">
              <w:rPr>
                <w:sz w:val="18"/>
                <w:szCs w:val="18"/>
              </w:rPr>
              <w:t>15.25</w:t>
            </w:r>
            <w:r w:rsidRPr="00D325AF">
              <w:rPr>
                <w:rFonts w:hint="eastAsia"/>
                <w:sz w:val="18"/>
                <w:szCs w:val="18"/>
              </w:rPr>
              <w:t xml:space="preserve"> (</w:t>
            </w:r>
            <w:r w:rsidRPr="00D325AF">
              <w:rPr>
                <w:sz w:val="18"/>
                <w:szCs w:val="18"/>
              </w:rPr>
              <w:t>44.51</w:t>
            </w:r>
            <w:r w:rsidRPr="00D325AF">
              <w:rPr>
                <w:rFonts w:hint="eastAsia"/>
                <w:sz w:val="18"/>
                <w:szCs w:val="18"/>
              </w:rPr>
              <w:t>)</w:t>
            </w:r>
          </w:p>
        </w:tc>
        <w:tc>
          <w:tcPr>
            <w:tcW w:w="0" w:type="auto"/>
            <w:noWrap/>
            <w:hideMark/>
          </w:tcPr>
          <w:p w14:paraId="1828BD2C" w14:textId="77777777" w:rsidR="00A15BC1" w:rsidRPr="00257E2E" w:rsidRDefault="00A15BC1" w:rsidP="00D325AF">
            <w:pPr>
              <w:spacing w:line="240" w:lineRule="auto"/>
              <w:rPr>
                <w:sz w:val="18"/>
                <w:szCs w:val="18"/>
              </w:rPr>
            </w:pPr>
          </w:p>
        </w:tc>
      </w:tr>
      <w:tr w:rsidR="00A15BC1" w:rsidRPr="00D325AF" w14:paraId="73D9990D" w14:textId="77777777" w:rsidTr="005C3BDD">
        <w:trPr>
          <w:trHeight w:val="223"/>
        </w:trPr>
        <w:tc>
          <w:tcPr>
            <w:tcW w:w="0" w:type="auto"/>
            <w:noWrap/>
            <w:vAlign w:val="bottom"/>
            <w:hideMark/>
          </w:tcPr>
          <w:p w14:paraId="5F8B44B9" w14:textId="77777777" w:rsidR="00A15BC1" w:rsidRPr="00D325AF" w:rsidRDefault="00A15BC1" w:rsidP="00D325AF">
            <w:pPr>
              <w:spacing w:line="240" w:lineRule="auto"/>
              <w:rPr>
                <w:sz w:val="18"/>
                <w:szCs w:val="18"/>
              </w:rPr>
            </w:pPr>
            <w:r w:rsidRPr="00D325AF">
              <w:rPr>
                <w:sz w:val="18"/>
                <w:szCs w:val="18"/>
              </w:rPr>
              <w:t>Differentiation</w:t>
            </w:r>
          </w:p>
        </w:tc>
        <w:tc>
          <w:tcPr>
            <w:tcW w:w="0" w:type="auto"/>
            <w:noWrap/>
            <w:vAlign w:val="bottom"/>
            <w:hideMark/>
          </w:tcPr>
          <w:p w14:paraId="7CD85C9F" w14:textId="77777777" w:rsidR="00A15BC1" w:rsidRPr="00D325AF" w:rsidRDefault="00A15BC1" w:rsidP="00D325AF">
            <w:pPr>
              <w:spacing w:line="240" w:lineRule="auto"/>
              <w:rPr>
                <w:sz w:val="18"/>
                <w:szCs w:val="18"/>
              </w:rPr>
            </w:pPr>
            <w:r w:rsidRPr="00D325AF">
              <w:rPr>
                <w:sz w:val="18"/>
                <w:szCs w:val="18"/>
              </w:rPr>
              <w:t>Unknown</w:t>
            </w:r>
          </w:p>
        </w:tc>
        <w:tc>
          <w:tcPr>
            <w:tcW w:w="0" w:type="auto"/>
            <w:noWrap/>
            <w:vAlign w:val="bottom"/>
            <w:hideMark/>
          </w:tcPr>
          <w:p w14:paraId="136643CA" w14:textId="608A3A24" w:rsidR="00A15BC1" w:rsidRPr="00D325AF" w:rsidRDefault="00A15BC1" w:rsidP="00D325AF">
            <w:pPr>
              <w:spacing w:line="240" w:lineRule="auto"/>
              <w:rPr>
                <w:sz w:val="18"/>
                <w:szCs w:val="18"/>
              </w:rPr>
            </w:pPr>
            <w:r w:rsidRPr="00D325AF">
              <w:rPr>
                <w:sz w:val="18"/>
                <w:szCs w:val="18"/>
              </w:rPr>
              <w:t>9 (5.4)</w:t>
            </w:r>
          </w:p>
        </w:tc>
        <w:tc>
          <w:tcPr>
            <w:tcW w:w="0" w:type="auto"/>
            <w:noWrap/>
            <w:hideMark/>
          </w:tcPr>
          <w:p w14:paraId="554351F5" w14:textId="697B7094" w:rsidR="00A15BC1" w:rsidRPr="00D325AF" w:rsidRDefault="00A15BC1" w:rsidP="00D325AF">
            <w:pPr>
              <w:spacing w:line="240" w:lineRule="auto"/>
              <w:rPr>
                <w:sz w:val="18"/>
                <w:szCs w:val="18"/>
              </w:rPr>
            </w:pPr>
            <w:r w:rsidRPr="00D325AF">
              <w:rPr>
                <w:sz w:val="18"/>
                <w:szCs w:val="18"/>
              </w:rPr>
              <w:t>128.86</w:t>
            </w:r>
            <w:r w:rsidR="00BA6102" w:rsidRPr="00D325AF">
              <w:rPr>
                <w:b/>
                <w:bCs/>
                <w:sz w:val="18"/>
                <w:szCs w:val="18"/>
              </w:rPr>
              <w:t>±</w:t>
            </w:r>
            <w:r w:rsidRPr="00D325AF">
              <w:rPr>
                <w:sz w:val="18"/>
                <w:szCs w:val="18"/>
              </w:rPr>
              <w:t>53.79</w:t>
            </w:r>
          </w:p>
        </w:tc>
        <w:tc>
          <w:tcPr>
            <w:tcW w:w="0" w:type="auto"/>
            <w:noWrap/>
            <w:hideMark/>
          </w:tcPr>
          <w:p w14:paraId="6A7B418B" w14:textId="77777777" w:rsidR="00A15BC1" w:rsidRPr="00D325AF" w:rsidRDefault="00A15BC1" w:rsidP="00D325AF">
            <w:pPr>
              <w:spacing w:line="240" w:lineRule="auto"/>
              <w:rPr>
                <w:sz w:val="18"/>
                <w:szCs w:val="18"/>
              </w:rPr>
            </w:pPr>
            <w:r w:rsidRPr="00D325AF">
              <w:rPr>
                <w:sz w:val="18"/>
                <w:szCs w:val="18"/>
              </w:rPr>
              <w:t>0.525</w:t>
            </w:r>
          </w:p>
        </w:tc>
        <w:tc>
          <w:tcPr>
            <w:tcW w:w="0" w:type="auto"/>
            <w:noWrap/>
            <w:hideMark/>
          </w:tcPr>
          <w:p w14:paraId="158E7094" w14:textId="787F3EF3" w:rsidR="00A15BC1" w:rsidRPr="00D325AF" w:rsidRDefault="00A15BC1" w:rsidP="00D325AF">
            <w:pPr>
              <w:spacing w:line="240" w:lineRule="auto"/>
              <w:rPr>
                <w:sz w:val="18"/>
                <w:szCs w:val="18"/>
              </w:rPr>
            </w:pPr>
            <w:r w:rsidRPr="00D325AF">
              <w:rPr>
                <w:sz w:val="18"/>
                <w:szCs w:val="18"/>
              </w:rPr>
              <w:t>2.84</w:t>
            </w:r>
            <w:r w:rsidRPr="00D325AF">
              <w:rPr>
                <w:rFonts w:hint="eastAsia"/>
                <w:sz w:val="18"/>
                <w:szCs w:val="18"/>
              </w:rPr>
              <w:t xml:space="preserve"> (</w:t>
            </w:r>
            <w:r w:rsidRPr="00D325AF">
              <w:rPr>
                <w:sz w:val="18"/>
                <w:szCs w:val="18"/>
              </w:rPr>
              <w:t>4.18</w:t>
            </w:r>
            <w:r w:rsidRPr="00D325AF">
              <w:rPr>
                <w:rFonts w:hint="eastAsia"/>
                <w:sz w:val="18"/>
                <w:szCs w:val="18"/>
              </w:rPr>
              <w:t>)</w:t>
            </w:r>
          </w:p>
        </w:tc>
        <w:tc>
          <w:tcPr>
            <w:tcW w:w="0" w:type="auto"/>
            <w:noWrap/>
            <w:hideMark/>
          </w:tcPr>
          <w:p w14:paraId="4A09C50E" w14:textId="77777777" w:rsidR="00A15BC1" w:rsidRPr="00257E2E" w:rsidRDefault="00A15BC1" w:rsidP="00D325AF">
            <w:pPr>
              <w:spacing w:line="240" w:lineRule="auto"/>
              <w:rPr>
                <w:sz w:val="18"/>
                <w:szCs w:val="18"/>
              </w:rPr>
            </w:pPr>
            <w:r w:rsidRPr="00257E2E">
              <w:rPr>
                <w:sz w:val="18"/>
                <w:szCs w:val="18"/>
              </w:rPr>
              <w:t>0.358</w:t>
            </w:r>
          </w:p>
        </w:tc>
      </w:tr>
      <w:tr w:rsidR="00A15BC1" w:rsidRPr="00D325AF" w14:paraId="054E5CFC" w14:textId="77777777" w:rsidTr="005C3BDD">
        <w:trPr>
          <w:trHeight w:val="223"/>
        </w:trPr>
        <w:tc>
          <w:tcPr>
            <w:tcW w:w="0" w:type="auto"/>
            <w:noWrap/>
            <w:vAlign w:val="bottom"/>
            <w:hideMark/>
          </w:tcPr>
          <w:p w14:paraId="7DD1884C" w14:textId="77777777" w:rsidR="00A15BC1" w:rsidRPr="00D325AF" w:rsidRDefault="00A15BC1" w:rsidP="00D325AF">
            <w:pPr>
              <w:spacing w:line="240" w:lineRule="auto"/>
              <w:rPr>
                <w:sz w:val="18"/>
                <w:szCs w:val="18"/>
              </w:rPr>
            </w:pPr>
          </w:p>
        </w:tc>
        <w:tc>
          <w:tcPr>
            <w:tcW w:w="0" w:type="auto"/>
            <w:noWrap/>
            <w:vAlign w:val="bottom"/>
            <w:hideMark/>
          </w:tcPr>
          <w:p w14:paraId="6A66C01F" w14:textId="77777777" w:rsidR="00A15BC1" w:rsidRPr="00D325AF" w:rsidRDefault="00A15BC1" w:rsidP="00D325AF">
            <w:pPr>
              <w:spacing w:line="240" w:lineRule="auto"/>
              <w:rPr>
                <w:sz w:val="18"/>
                <w:szCs w:val="18"/>
              </w:rPr>
            </w:pPr>
            <w:r w:rsidRPr="00D325AF">
              <w:rPr>
                <w:sz w:val="18"/>
                <w:szCs w:val="18"/>
              </w:rPr>
              <w:t>Poor</w:t>
            </w:r>
          </w:p>
        </w:tc>
        <w:tc>
          <w:tcPr>
            <w:tcW w:w="0" w:type="auto"/>
            <w:noWrap/>
            <w:vAlign w:val="bottom"/>
            <w:hideMark/>
          </w:tcPr>
          <w:p w14:paraId="02E5507D" w14:textId="479CFF2D" w:rsidR="00A15BC1" w:rsidRPr="00D325AF" w:rsidRDefault="00A15BC1" w:rsidP="00D325AF">
            <w:pPr>
              <w:spacing w:line="240" w:lineRule="auto"/>
              <w:rPr>
                <w:sz w:val="18"/>
                <w:szCs w:val="18"/>
              </w:rPr>
            </w:pPr>
            <w:r w:rsidRPr="00D325AF">
              <w:rPr>
                <w:sz w:val="18"/>
                <w:szCs w:val="18"/>
              </w:rPr>
              <w:t>26 (15.</w:t>
            </w:r>
            <w:r w:rsidRPr="00D325AF">
              <w:rPr>
                <w:rFonts w:hint="eastAsia"/>
                <w:sz w:val="18"/>
                <w:szCs w:val="18"/>
              </w:rPr>
              <w:t>7</w:t>
            </w:r>
            <w:r w:rsidRPr="00D325AF">
              <w:rPr>
                <w:sz w:val="18"/>
                <w:szCs w:val="18"/>
              </w:rPr>
              <w:t>)</w:t>
            </w:r>
          </w:p>
        </w:tc>
        <w:tc>
          <w:tcPr>
            <w:tcW w:w="0" w:type="auto"/>
            <w:noWrap/>
            <w:hideMark/>
          </w:tcPr>
          <w:p w14:paraId="324D7C1D" w14:textId="303D078E" w:rsidR="00A15BC1" w:rsidRPr="00D325AF" w:rsidRDefault="00A15BC1" w:rsidP="00D325AF">
            <w:pPr>
              <w:spacing w:line="240" w:lineRule="auto"/>
              <w:rPr>
                <w:sz w:val="18"/>
                <w:szCs w:val="18"/>
              </w:rPr>
            </w:pPr>
            <w:r w:rsidRPr="00D325AF">
              <w:rPr>
                <w:sz w:val="18"/>
                <w:szCs w:val="18"/>
              </w:rPr>
              <w:t>151.61</w:t>
            </w:r>
            <w:r w:rsidR="00BA6102" w:rsidRPr="00D325AF">
              <w:rPr>
                <w:b/>
                <w:bCs/>
                <w:sz w:val="18"/>
                <w:szCs w:val="18"/>
              </w:rPr>
              <w:t>±</w:t>
            </w:r>
            <w:r w:rsidRPr="00D325AF">
              <w:rPr>
                <w:sz w:val="18"/>
                <w:szCs w:val="18"/>
              </w:rPr>
              <w:t>46.12</w:t>
            </w:r>
          </w:p>
        </w:tc>
        <w:tc>
          <w:tcPr>
            <w:tcW w:w="0" w:type="auto"/>
            <w:noWrap/>
            <w:hideMark/>
          </w:tcPr>
          <w:p w14:paraId="358A8D27" w14:textId="77777777" w:rsidR="00A15BC1" w:rsidRPr="00D325AF" w:rsidRDefault="00A15BC1" w:rsidP="00D325AF">
            <w:pPr>
              <w:spacing w:line="240" w:lineRule="auto"/>
              <w:rPr>
                <w:sz w:val="18"/>
                <w:szCs w:val="18"/>
              </w:rPr>
            </w:pPr>
          </w:p>
        </w:tc>
        <w:tc>
          <w:tcPr>
            <w:tcW w:w="0" w:type="auto"/>
            <w:noWrap/>
            <w:hideMark/>
          </w:tcPr>
          <w:p w14:paraId="1F55EED5" w14:textId="36D414B3" w:rsidR="00A15BC1" w:rsidRPr="00D325AF" w:rsidRDefault="00A15BC1" w:rsidP="00D325AF">
            <w:pPr>
              <w:spacing w:line="240" w:lineRule="auto"/>
              <w:rPr>
                <w:sz w:val="18"/>
                <w:szCs w:val="18"/>
              </w:rPr>
            </w:pPr>
            <w:r w:rsidRPr="00D325AF">
              <w:rPr>
                <w:sz w:val="18"/>
                <w:szCs w:val="18"/>
              </w:rPr>
              <w:t>6.70</w:t>
            </w:r>
            <w:r w:rsidRPr="00D325AF">
              <w:rPr>
                <w:rFonts w:hint="eastAsia"/>
                <w:sz w:val="18"/>
                <w:szCs w:val="18"/>
              </w:rPr>
              <w:t xml:space="preserve"> (</w:t>
            </w:r>
            <w:r w:rsidRPr="00D325AF">
              <w:rPr>
                <w:sz w:val="18"/>
                <w:szCs w:val="18"/>
              </w:rPr>
              <w:t>16.18</w:t>
            </w:r>
            <w:r w:rsidRPr="00D325AF">
              <w:rPr>
                <w:rFonts w:hint="eastAsia"/>
                <w:sz w:val="18"/>
                <w:szCs w:val="18"/>
              </w:rPr>
              <w:t>)</w:t>
            </w:r>
          </w:p>
        </w:tc>
        <w:tc>
          <w:tcPr>
            <w:tcW w:w="0" w:type="auto"/>
            <w:noWrap/>
            <w:hideMark/>
          </w:tcPr>
          <w:p w14:paraId="374FA3DE" w14:textId="77777777" w:rsidR="00A15BC1" w:rsidRPr="00257E2E" w:rsidRDefault="00A15BC1" w:rsidP="00D325AF">
            <w:pPr>
              <w:spacing w:line="240" w:lineRule="auto"/>
              <w:rPr>
                <w:sz w:val="18"/>
                <w:szCs w:val="18"/>
              </w:rPr>
            </w:pPr>
          </w:p>
        </w:tc>
      </w:tr>
      <w:tr w:rsidR="00A15BC1" w:rsidRPr="00D325AF" w14:paraId="43C380D0" w14:textId="77777777" w:rsidTr="005C3BDD">
        <w:trPr>
          <w:trHeight w:val="223"/>
        </w:trPr>
        <w:tc>
          <w:tcPr>
            <w:tcW w:w="0" w:type="auto"/>
            <w:noWrap/>
            <w:vAlign w:val="bottom"/>
            <w:hideMark/>
          </w:tcPr>
          <w:p w14:paraId="2A51E127" w14:textId="77777777" w:rsidR="00A15BC1" w:rsidRPr="00D325AF" w:rsidRDefault="00A15BC1" w:rsidP="00D325AF">
            <w:pPr>
              <w:spacing w:line="240" w:lineRule="auto"/>
              <w:rPr>
                <w:rFonts w:eastAsia="Times New Roman" w:cs="Times New Roman"/>
                <w:sz w:val="18"/>
                <w:szCs w:val="18"/>
              </w:rPr>
            </w:pPr>
          </w:p>
        </w:tc>
        <w:tc>
          <w:tcPr>
            <w:tcW w:w="0" w:type="auto"/>
            <w:noWrap/>
            <w:vAlign w:val="bottom"/>
            <w:hideMark/>
          </w:tcPr>
          <w:p w14:paraId="22375216" w14:textId="77777777" w:rsidR="00A15BC1" w:rsidRPr="00D325AF" w:rsidRDefault="00A15BC1" w:rsidP="00D325AF">
            <w:pPr>
              <w:spacing w:line="240" w:lineRule="auto"/>
              <w:rPr>
                <w:sz w:val="18"/>
                <w:szCs w:val="18"/>
              </w:rPr>
            </w:pPr>
            <w:r w:rsidRPr="00D325AF">
              <w:rPr>
                <w:sz w:val="18"/>
                <w:szCs w:val="18"/>
              </w:rPr>
              <w:t>Moderate</w:t>
            </w:r>
          </w:p>
        </w:tc>
        <w:tc>
          <w:tcPr>
            <w:tcW w:w="0" w:type="auto"/>
            <w:noWrap/>
            <w:vAlign w:val="bottom"/>
            <w:hideMark/>
          </w:tcPr>
          <w:p w14:paraId="3F54E352" w14:textId="6CF64E84" w:rsidR="00A15BC1" w:rsidRPr="00D325AF" w:rsidRDefault="00A15BC1" w:rsidP="00D325AF">
            <w:pPr>
              <w:spacing w:line="240" w:lineRule="auto"/>
              <w:rPr>
                <w:sz w:val="18"/>
                <w:szCs w:val="18"/>
              </w:rPr>
            </w:pPr>
            <w:r w:rsidRPr="00D325AF">
              <w:rPr>
                <w:sz w:val="18"/>
                <w:szCs w:val="18"/>
              </w:rPr>
              <w:t>129 (77.7)</w:t>
            </w:r>
          </w:p>
        </w:tc>
        <w:tc>
          <w:tcPr>
            <w:tcW w:w="0" w:type="auto"/>
            <w:noWrap/>
            <w:hideMark/>
          </w:tcPr>
          <w:p w14:paraId="36A185A6" w14:textId="2DD50AE7" w:rsidR="00A15BC1" w:rsidRPr="00D325AF" w:rsidRDefault="00A15BC1" w:rsidP="00D325AF">
            <w:pPr>
              <w:spacing w:line="240" w:lineRule="auto"/>
              <w:rPr>
                <w:sz w:val="18"/>
                <w:szCs w:val="18"/>
              </w:rPr>
            </w:pPr>
            <w:r w:rsidRPr="00D325AF">
              <w:rPr>
                <w:sz w:val="18"/>
                <w:szCs w:val="18"/>
              </w:rPr>
              <w:t>143.37</w:t>
            </w:r>
            <w:r w:rsidR="00BA6102" w:rsidRPr="00D325AF">
              <w:rPr>
                <w:b/>
                <w:bCs/>
                <w:sz w:val="18"/>
                <w:szCs w:val="18"/>
              </w:rPr>
              <w:t>±</w:t>
            </w:r>
            <w:r w:rsidRPr="00D325AF">
              <w:rPr>
                <w:sz w:val="18"/>
                <w:szCs w:val="18"/>
              </w:rPr>
              <w:t>59.97</w:t>
            </w:r>
          </w:p>
        </w:tc>
        <w:tc>
          <w:tcPr>
            <w:tcW w:w="0" w:type="auto"/>
            <w:noWrap/>
            <w:hideMark/>
          </w:tcPr>
          <w:p w14:paraId="6FFB00E5" w14:textId="77777777" w:rsidR="00A15BC1" w:rsidRPr="00D325AF" w:rsidRDefault="00A15BC1" w:rsidP="00D325AF">
            <w:pPr>
              <w:spacing w:line="240" w:lineRule="auto"/>
              <w:rPr>
                <w:sz w:val="18"/>
                <w:szCs w:val="18"/>
              </w:rPr>
            </w:pPr>
          </w:p>
        </w:tc>
        <w:tc>
          <w:tcPr>
            <w:tcW w:w="0" w:type="auto"/>
            <w:noWrap/>
            <w:hideMark/>
          </w:tcPr>
          <w:p w14:paraId="0B5E500C" w14:textId="3EAEE052" w:rsidR="00A15BC1" w:rsidRPr="00D325AF" w:rsidRDefault="00A15BC1" w:rsidP="00D325AF">
            <w:pPr>
              <w:spacing w:line="240" w:lineRule="auto"/>
              <w:rPr>
                <w:sz w:val="18"/>
                <w:szCs w:val="18"/>
              </w:rPr>
            </w:pPr>
            <w:r w:rsidRPr="00D325AF">
              <w:rPr>
                <w:sz w:val="18"/>
                <w:szCs w:val="18"/>
              </w:rPr>
              <w:t>6.26</w:t>
            </w:r>
            <w:r w:rsidRPr="00D325AF">
              <w:rPr>
                <w:rFonts w:hint="eastAsia"/>
                <w:sz w:val="18"/>
                <w:szCs w:val="18"/>
              </w:rPr>
              <w:t xml:space="preserve"> (</w:t>
            </w:r>
            <w:r w:rsidRPr="00D325AF">
              <w:rPr>
                <w:sz w:val="18"/>
                <w:szCs w:val="18"/>
              </w:rPr>
              <w:t>12.87</w:t>
            </w:r>
            <w:r w:rsidRPr="00D325AF">
              <w:rPr>
                <w:rFonts w:hint="eastAsia"/>
                <w:sz w:val="18"/>
                <w:szCs w:val="18"/>
              </w:rPr>
              <w:t>)</w:t>
            </w:r>
          </w:p>
        </w:tc>
        <w:tc>
          <w:tcPr>
            <w:tcW w:w="0" w:type="auto"/>
            <w:noWrap/>
            <w:hideMark/>
          </w:tcPr>
          <w:p w14:paraId="57647403" w14:textId="77777777" w:rsidR="00A15BC1" w:rsidRPr="00257E2E" w:rsidRDefault="00A15BC1" w:rsidP="00D325AF">
            <w:pPr>
              <w:spacing w:line="240" w:lineRule="auto"/>
              <w:rPr>
                <w:sz w:val="18"/>
                <w:szCs w:val="18"/>
              </w:rPr>
            </w:pPr>
          </w:p>
        </w:tc>
      </w:tr>
      <w:tr w:rsidR="00A15BC1" w:rsidRPr="00D325AF" w14:paraId="5F18CA5D" w14:textId="77777777" w:rsidTr="005C3BDD">
        <w:trPr>
          <w:trHeight w:val="223"/>
        </w:trPr>
        <w:tc>
          <w:tcPr>
            <w:tcW w:w="0" w:type="auto"/>
            <w:noWrap/>
            <w:vAlign w:val="bottom"/>
            <w:hideMark/>
          </w:tcPr>
          <w:p w14:paraId="3E3190B7" w14:textId="77777777" w:rsidR="00A15BC1" w:rsidRPr="00D325AF" w:rsidRDefault="00A15BC1" w:rsidP="00D325AF">
            <w:pPr>
              <w:spacing w:line="240" w:lineRule="auto"/>
              <w:rPr>
                <w:rFonts w:eastAsia="Times New Roman" w:cs="Times New Roman"/>
                <w:sz w:val="18"/>
                <w:szCs w:val="18"/>
              </w:rPr>
            </w:pPr>
          </w:p>
        </w:tc>
        <w:tc>
          <w:tcPr>
            <w:tcW w:w="0" w:type="auto"/>
            <w:noWrap/>
            <w:vAlign w:val="bottom"/>
            <w:hideMark/>
          </w:tcPr>
          <w:p w14:paraId="0E899E91" w14:textId="77777777" w:rsidR="00A15BC1" w:rsidRPr="00D325AF" w:rsidRDefault="00A15BC1" w:rsidP="00D325AF">
            <w:pPr>
              <w:spacing w:line="240" w:lineRule="auto"/>
              <w:rPr>
                <w:sz w:val="18"/>
                <w:szCs w:val="18"/>
              </w:rPr>
            </w:pPr>
            <w:r w:rsidRPr="00D325AF">
              <w:rPr>
                <w:sz w:val="18"/>
                <w:szCs w:val="18"/>
              </w:rPr>
              <w:t>Well</w:t>
            </w:r>
          </w:p>
        </w:tc>
        <w:tc>
          <w:tcPr>
            <w:tcW w:w="0" w:type="auto"/>
            <w:noWrap/>
            <w:vAlign w:val="bottom"/>
            <w:hideMark/>
          </w:tcPr>
          <w:p w14:paraId="5094CB3C" w14:textId="402F10BE" w:rsidR="00A15BC1" w:rsidRPr="00D325AF" w:rsidRDefault="00A15BC1" w:rsidP="00D325AF">
            <w:pPr>
              <w:spacing w:line="240" w:lineRule="auto"/>
              <w:rPr>
                <w:sz w:val="18"/>
                <w:szCs w:val="18"/>
              </w:rPr>
            </w:pPr>
            <w:r w:rsidRPr="00D325AF">
              <w:rPr>
                <w:sz w:val="18"/>
                <w:szCs w:val="18"/>
              </w:rPr>
              <w:t>2 (1.2)</w:t>
            </w:r>
          </w:p>
        </w:tc>
        <w:tc>
          <w:tcPr>
            <w:tcW w:w="0" w:type="auto"/>
            <w:noWrap/>
            <w:hideMark/>
          </w:tcPr>
          <w:p w14:paraId="77459D3A" w14:textId="3DD945C4" w:rsidR="00A15BC1" w:rsidRPr="00D325AF" w:rsidRDefault="00A15BC1" w:rsidP="00D325AF">
            <w:pPr>
              <w:spacing w:line="240" w:lineRule="auto"/>
              <w:rPr>
                <w:sz w:val="18"/>
                <w:szCs w:val="18"/>
              </w:rPr>
            </w:pPr>
            <w:r w:rsidRPr="00D325AF">
              <w:rPr>
                <w:sz w:val="18"/>
                <w:szCs w:val="18"/>
              </w:rPr>
              <w:t>187.87</w:t>
            </w:r>
            <w:r w:rsidR="00BA6102" w:rsidRPr="00D325AF">
              <w:rPr>
                <w:b/>
                <w:bCs/>
                <w:sz w:val="18"/>
                <w:szCs w:val="18"/>
              </w:rPr>
              <w:t>±</w:t>
            </w:r>
            <w:r w:rsidRPr="00D325AF">
              <w:rPr>
                <w:sz w:val="18"/>
                <w:szCs w:val="18"/>
              </w:rPr>
              <w:t>9.27</w:t>
            </w:r>
          </w:p>
        </w:tc>
        <w:tc>
          <w:tcPr>
            <w:tcW w:w="0" w:type="auto"/>
            <w:noWrap/>
            <w:hideMark/>
          </w:tcPr>
          <w:p w14:paraId="567F9062" w14:textId="77777777" w:rsidR="00A15BC1" w:rsidRPr="00D325AF" w:rsidRDefault="00A15BC1" w:rsidP="00D325AF">
            <w:pPr>
              <w:spacing w:line="240" w:lineRule="auto"/>
              <w:rPr>
                <w:sz w:val="18"/>
                <w:szCs w:val="18"/>
              </w:rPr>
            </w:pPr>
          </w:p>
        </w:tc>
        <w:tc>
          <w:tcPr>
            <w:tcW w:w="0" w:type="auto"/>
            <w:noWrap/>
            <w:hideMark/>
          </w:tcPr>
          <w:p w14:paraId="76D2D65E" w14:textId="374C9820" w:rsidR="00A15BC1" w:rsidRPr="00D325AF" w:rsidRDefault="00A15BC1" w:rsidP="00D325AF">
            <w:pPr>
              <w:spacing w:line="240" w:lineRule="auto"/>
              <w:rPr>
                <w:sz w:val="18"/>
                <w:szCs w:val="18"/>
              </w:rPr>
            </w:pPr>
            <w:r w:rsidRPr="00D325AF">
              <w:rPr>
                <w:sz w:val="18"/>
                <w:szCs w:val="18"/>
              </w:rPr>
              <w:t>5.30</w:t>
            </w:r>
            <w:r w:rsidRPr="00D325AF">
              <w:rPr>
                <w:rFonts w:hint="eastAsia"/>
                <w:sz w:val="18"/>
                <w:szCs w:val="18"/>
              </w:rPr>
              <w:t xml:space="preserve"> (-)</w:t>
            </w:r>
          </w:p>
        </w:tc>
        <w:tc>
          <w:tcPr>
            <w:tcW w:w="0" w:type="auto"/>
            <w:noWrap/>
            <w:hideMark/>
          </w:tcPr>
          <w:p w14:paraId="12F1BE28" w14:textId="77777777" w:rsidR="00A15BC1" w:rsidRPr="00257E2E" w:rsidRDefault="00A15BC1" w:rsidP="00D325AF">
            <w:pPr>
              <w:spacing w:line="240" w:lineRule="auto"/>
              <w:rPr>
                <w:sz w:val="18"/>
                <w:szCs w:val="18"/>
              </w:rPr>
            </w:pPr>
          </w:p>
        </w:tc>
      </w:tr>
      <w:tr w:rsidR="00A15BC1" w:rsidRPr="00D325AF" w14:paraId="0E633850" w14:textId="77777777" w:rsidTr="005C3BDD">
        <w:trPr>
          <w:trHeight w:val="223"/>
        </w:trPr>
        <w:tc>
          <w:tcPr>
            <w:tcW w:w="0" w:type="auto"/>
            <w:noWrap/>
            <w:vAlign w:val="bottom"/>
            <w:hideMark/>
          </w:tcPr>
          <w:p w14:paraId="551836B6" w14:textId="77777777" w:rsidR="00A15BC1" w:rsidRPr="00D325AF" w:rsidRDefault="00A15BC1" w:rsidP="00D325AF">
            <w:pPr>
              <w:spacing w:line="240" w:lineRule="auto"/>
              <w:rPr>
                <w:sz w:val="18"/>
                <w:szCs w:val="18"/>
              </w:rPr>
            </w:pPr>
            <w:r w:rsidRPr="00D325AF">
              <w:rPr>
                <w:sz w:val="18"/>
                <w:szCs w:val="18"/>
              </w:rPr>
              <w:t>NAC</w:t>
            </w:r>
            <w:r w:rsidRPr="00D325AF">
              <w:rPr>
                <w:rFonts w:cs="Times New Roman"/>
                <w:sz w:val="18"/>
                <w:szCs w:val="18"/>
                <w:vertAlign w:val="superscript"/>
              </w:rPr>
              <w:t>†</w:t>
            </w:r>
          </w:p>
        </w:tc>
        <w:tc>
          <w:tcPr>
            <w:tcW w:w="0" w:type="auto"/>
            <w:noWrap/>
            <w:vAlign w:val="bottom"/>
            <w:hideMark/>
          </w:tcPr>
          <w:p w14:paraId="1CF7D7A9" w14:textId="77777777" w:rsidR="00A15BC1" w:rsidRPr="00D325AF" w:rsidRDefault="00A15BC1" w:rsidP="00D325AF">
            <w:pPr>
              <w:spacing w:line="240" w:lineRule="auto"/>
              <w:rPr>
                <w:sz w:val="18"/>
                <w:szCs w:val="18"/>
              </w:rPr>
            </w:pPr>
            <w:r w:rsidRPr="00D325AF">
              <w:rPr>
                <w:sz w:val="18"/>
                <w:szCs w:val="18"/>
              </w:rPr>
              <w:t>Yes</w:t>
            </w:r>
          </w:p>
        </w:tc>
        <w:tc>
          <w:tcPr>
            <w:tcW w:w="0" w:type="auto"/>
            <w:noWrap/>
            <w:vAlign w:val="bottom"/>
            <w:hideMark/>
          </w:tcPr>
          <w:p w14:paraId="6B192551" w14:textId="30B2B7DA" w:rsidR="00A15BC1" w:rsidRPr="00D325AF" w:rsidRDefault="00A15BC1" w:rsidP="00D325AF">
            <w:pPr>
              <w:spacing w:line="240" w:lineRule="auto"/>
              <w:rPr>
                <w:sz w:val="18"/>
                <w:szCs w:val="18"/>
              </w:rPr>
            </w:pPr>
            <w:r w:rsidRPr="00D325AF">
              <w:rPr>
                <w:sz w:val="18"/>
                <w:szCs w:val="18"/>
              </w:rPr>
              <w:t>37 (22.</w:t>
            </w:r>
            <w:r w:rsidRPr="00D325AF">
              <w:rPr>
                <w:rFonts w:hint="eastAsia"/>
                <w:sz w:val="18"/>
                <w:szCs w:val="18"/>
              </w:rPr>
              <w:t>3</w:t>
            </w:r>
            <w:r w:rsidRPr="00D325AF">
              <w:rPr>
                <w:sz w:val="18"/>
                <w:szCs w:val="18"/>
              </w:rPr>
              <w:t>)</w:t>
            </w:r>
          </w:p>
        </w:tc>
        <w:tc>
          <w:tcPr>
            <w:tcW w:w="0" w:type="auto"/>
            <w:noWrap/>
            <w:hideMark/>
          </w:tcPr>
          <w:p w14:paraId="3EB973BC" w14:textId="30AB3670" w:rsidR="00A15BC1" w:rsidRPr="00D325AF" w:rsidRDefault="00A15BC1" w:rsidP="00D325AF">
            <w:pPr>
              <w:spacing w:line="240" w:lineRule="auto"/>
              <w:rPr>
                <w:sz w:val="18"/>
                <w:szCs w:val="18"/>
              </w:rPr>
            </w:pPr>
            <w:r w:rsidRPr="00D325AF">
              <w:rPr>
                <w:sz w:val="18"/>
                <w:szCs w:val="18"/>
              </w:rPr>
              <w:t>133.57</w:t>
            </w:r>
            <w:r w:rsidR="00BA6102" w:rsidRPr="00D325AF">
              <w:rPr>
                <w:b/>
                <w:bCs/>
                <w:sz w:val="18"/>
                <w:szCs w:val="18"/>
              </w:rPr>
              <w:t>±</w:t>
            </w:r>
            <w:r w:rsidRPr="00D325AF">
              <w:rPr>
                <w:sz w:val="18"/>
                <w:szCs w:val="18"/>
              </w:rPr>
              <w:t>60.66</w:t>
            </w:r>
          </w:p>
        </w:tc>
        <w:tc>
          <w:tcPr>
            <w:tcW w:w="0" w:type="auto"/>
            <w:noWrap/>
            <w:hideMark/>
          </w:tcPr>
          <w:p w14:paraId="06A48649" w14:textId="77777777" w:rsidR="00A15BC1" w:rsidRPr="00D325AF" w:rsidRDefault="00A15BC1" w:rsidP="00D325AF">
            <w:pPr>
              <w:spacing w:line="240" w:lineRule="auto"/>
              <w:rPr>
                <w:sz w:val="18"/>
                <w:szCs w:val="18"/>
              </w:rPr>
            </w:pPr>
            <w:r w:rsidRPr="00D325AF">
              <w:rPr>
                <w:sz w:val="18"/>
                <w:szCs w:val="18"/>
              </w:rPr>
              <w:t>0.194</w:t>
            </w:r>
          </w:p>
        </w:tc>
        <w:tc>
          <w:tcPr>
            <w:tcW w:w="0" w:type="auto"/>
            <w:noWrap/>
            <w:hideMark/>
          </w:tcPr>
          <w:p w14:paraId="70C061E1" w14:textId="1927E35F" w:rsidR="00A15BC1" w:rsidRPr="00D325AF" w:rsidRDefault="00A15BC1" w:rsidP="00D325AF">
            <w:pPr>
              <w:spacing w:line="240" w:lineRule="auto"/>
              <w:rPr>
                <w:sz w:val="18"/>
                <w:szCs w:val="18"/>
              </w:rPr>
            </w:pPr>
            <w:r w:rsidRPr="00D325AF">
              <w:rPr>
                <w:sz w:val="18"/>
                <w:szCs w:val="18"/>
              </w:rPr>
              <w:t>4.27</w:t>
            </w:r>
            <w:r w:rsidRPr="00D325AF">
              <w:rPr>
                <w:rFonts w:hint="eastAsia"/>
                <w:sz w:val="18"/>
                <w:szCs w:val="18"/>
              </w:rPr>
              <w:t xml:space="preserve"> (</w:t>
            </w:r>
            <w:r w:rsidRPr="00D325AF">
              <w:rPr>
                <w:sz w:val="18"/>
                <w:szCs w:val="18"/>
              </w:rPr>
              <w:t>11.07</w:t>
            </w:r>
            <w:r w:rsidRPr="00D325AF">
              <w:rPr>
                <w:rFonts w:hint="eastAsia"/>
                <w:sz w:val="18"/>
                <w:szCs w:val="18"/>
              </w:rPr>
              <w:t>)</w:t>
            </w:r>
          </w:p>
        </w:tc>
        <w:tc>
          <w:tcPr>
            <w:tcW w:w="0" w:type="auto"/>
            <w:noWrap/>
            <w:hideMark/>
          </w:tcPr>
          <w:p w14:paraId="53EEE20F" w14:textId="77777777" w:rsidR="00A15BC1" w:rsidRPr="00257E2E" w:rsidRDefault="00A15BC1" w:rsidP="00D325AF">
            <w:pPr>
              <w:spacing w:line="240" w:lineRule="auto"/>
              <w:rPr>
                <w:sz w:val="18"/>
                <w:szCs w:val="18"/>
              </w:rPr>
            </w:pPr>
            <w:r w:rsidRPr="00257E2E">
              <w:rPr>
                <w:sz w:val="18"/>
                <w:szCs w:val="18"/>
              </w:rPr>
              <w:t>0.237</w:t>
            </w:r>
          </w:p>
        </w:tc>
      </w:tr>
      <w:tr w:rsidR="00A15BC1" w:rsidRPr="00D325AF" w14:paraId="674235E4" w14:textId="77777777" w:rsidTr="005C3BDD">
        <w:trPr>
          <w:trHeight w:val="223"/>
        </w:trPr>
        <w:tc>
          <w:tcPr>
            <w:tcW w:w="0" w:type="auto"/>
            <w:noWrap/>
            <w:vAlign w:val="bottom"/>
            <w:hideMark/>
          </w:tcPr>
          <w:p w14:paraId="0F7406E5" w14:textId="77777777" w:rsidR="00A15BC1" w:rsidRPr="00D325AF" w:rsidRDefault="00A15BC1" w:rsidP="00D325AF">
            <w:pPr>
              <w:spacing w:line="240" w:lineRule="auto"/>
              <w:rPr>
                <w:sz w:val="18"/>
                <w:szCs w:val="18"/>
              </w:rPr>
            </w:pPr>
          </w:p>
        </w:tc>
        <w:tc>
          <w:tcPr>
            <w:tcW w:w="0" w:type="auto"/>
            <w:noWrap/>
            <w:vAlign w:val="bottom"/>
            <w:hideMark/>
          </w:tcPr>
          <w:p w14:paraId="71392AA6" w14:textId="77777777" w:rsidR="00A15BC1" w:rsidRPr="00D325AF" w:rsidRDefault="00A15BC1" w:rsidP="00D325AF">
            <w:pPr>
              <w:spacing w:line="240" w:lineRule="auto"/>
              <w:rPr>
                <w:sz w:val="18"/>
                <w:szCs w:val="18"/>
              </w:rPr>
            </w:pPr>
            <w:r w:rsidRPr="00D325AF">
              <w:rPr>
                <w:sz w:val="18"/>
                <w:szCs w:val="18"/>
              </w:rPr>
              <w:t>No</w:t>
            </w:r>
          </w:p>
        </w:tc>
        <w:tc>
          <w:tcPr>
            <w:tcW w:w="0" w:type="auto"/>
            <w:noWrap/>
            <w:vAlign w:val="bottom"/>
            <w:hideMark/>
          </w:tcPr>
          <w:p w14:paraId="392609A2" w14:textId="5343FE16" w:rsidR="00A15BC1" w:rsidRPr="00D325AF" w:rsidRDefault="00A15BC1" w:rsidP="00D325AF">
            <w:pPr>
              <w:spacing w:line="240" w:lineRule="auto"/>
              <w:rPr>
                <w:sz w:val="18"/>
                <w:szCs w:val="18"/>
              </w:rPr>
            </w:pPr>
            <w:r w:rsidRPr="00D325AF">
              <w:rPr>
                <w:sz w:val="18"/>
                <w:szCs w:val="18"/>
              </w:rPr>
              <w:t>129 (77.7)</w:t>
            </w:r>
          </w:p>
        </w:tc>
        <w:tc>
          <w:tcPr>
            <w:tcW w:w="0" w:type="auto"/>
            <w:noWrap/>
            <w:hideMark/>
          </w:tcPr>
          <w:p w14:paraId="034C51EA" w14:textId="3E3A1AE2" w:rsidR="00A15BC1" w:rsidRPr="00D325AF" w:rsidRDefault="00A15BC1" w:rsidP="00D325AF">
            <w:pPr>
              <w:spacing w:line="240" w:lineRule="auto"/>
              <w:rPr>
                <w:sz w:val="18"/>
                <w:szCs w:val="18"/>
              </w:rPr>
            </w:pPr>
            <w:r w:rsidRPr="00D325AF">
              <w:rPr>
                <w:sz w:val="18"/>
                <w:szCs w:val="18"/>
              </w:rPr>
              <w:t>147.51</w:t>
            </w:r>
            <w:r w:rsidR="00BA6102" w:rsidRPr="00D325AF">
              <w:rPr>
                <w:b/>
                <w:bCs/>
                <w:sz w:val="18"/>
                <w:szCs w:val="18"/>
              </w:rPr>
              <w:t>±</w:t>
            </w:r>
            <w:r w:rsidRPr="00D325AF">
              <w:rPr>
                <w:sz w:val="18"/>
                <w:szCs w:val="18"/>
              </w:rPr>
              <w:t>56.33</w:t>
            </w:r>
          </w:p>
        </w:tc>
        <w:tc>
          <w:tcPr>
            <w:tcW w:w="0" w:type="auto"/>
            <w:noWrap/>
            <w:hideMark/>
          </w:tcPr>
          <w:p w14:paraId="6F55DEB6" w14:textId="77777777" w:rsidR="00A15BC1" w:rsidRPr="00D325AF" w:rsidRDefault="00A15BC1" w:rsidP="00D325AF">
            <w:pPr>
              <w:spacing w:line="240" w:lineRule="auto"/>
              <w:rPr>
                <w:sz w:val="18"/>
                <w:szCs w:val="18"/>
              </w:rPr>
            </w:pPr>
          </w:p>
        </w:tc>
        <w:tc>
          <w:tcPr>
            <w:tcW w:w="0" w:type="auto"/>
            <w:noWrap/>
            <w:hideMark/>
          </w:tcPr>
          <w:p w14:paraId="4C4DE188" w14:textId="08EDA548" w:rsidR="00A15BC1" w:rsidRPr="00D325AF" w:rsidRDefault="00A15BC1" w:rsidP="00D325AF">
            <w:pPr>
              <w:spacing w:line="240" w:lineRule="auto"/>
              <w:rPr>
                <w:sz w:val="18"/>
                <w:szCs w:val="18"/>
              </w:rPr>
            </w:pPr>
            <w:r w:rsidRPr="00D325AF">
              <w:rPr>
                <w:sz w:val="18"/>
                <w:szCs w:val="18"/>
              </w:rPr>
              <w:t>6.57</w:t>
            </w:r>
            <w:r w:rsidRPr="00D325AF">
              <w:rPr>
                <w:rFonts w:hint="eastAsia"/>
                <w:sz w:val="18"/>
                <w:szCs w:val="18"/>
              </w:rPr>
              <w:t xml:space="preserve"> (</w:t>
            </w:r>
            <w:r w:rsidRPr="00D325AF">
              <w:rPr>
                <w:sz w:val="18"/>
                <w:szCs w:val="18"/>
              </w:rPr>
              <w:t>15.07</w:t>
            </w:r>
            <w:r w:rsidRPr="00D325AF">
              <w:rPr>
                <w:rFonts w:hint="eastAsia"/>
                <w:sz w:val="18"/>
                <w:szCs w:val="18"/>
              </w:rPr>
              <w:t>)</w:t>
            </w:r>
          </w:p>
        </w:tc>
        <w:tc>
          <w:tcPr>
            <w:tcW w:w="0" w:type="auto"/>
            <w:noWrap/>
            <w:hideMark/>
          </w:tcPr>
          <w:p w14:paraId="2A10F2E0" w14:textId="77777777" w:rsidR="00A15BC1" w:rsidRPr="00D325AF" w:rsidRDefault="00A15BC1" w:rsidP="00D325AF">
            <w:pPr>
              <w:spacing w:line="240" w:lineRule="auto"/>
              <w:rPr>
                <w:sz w:val="18"/>
                <w:szCs w:val="18"/>
              </w:rPr>
            </w:pPr>
          </w:p>
        </w:tc>
      </w:tr>
    </w:tbl>
    <w:p w14:paraId="12A6F4FA" w14:textId="1292C5DD" w:rsidR="00D325AF" w:rsidRDefault="00D325AF" w:rsidP="00D325AF">
      <w:pPr>
        <w:spacing w:line="240" w:lineRule="auto"/>
        <w:rPr>
          <w:rFonts w:eastAsiaTheme="minorEastAsia"/>
          <w:sz w:val="18"/>
          <w:szCs w:val="18"/>
        </w:rPr>
      </w:pPr>
      <w:r>
        <w:rPr>
          <w:rFonts w:eastAsiaTheme="minorEastAsia"/>
          <w:sz w:val="18"/>
          <w:szCs w:val="18"/>
        </w:rPr>
        <w:t xml:space="preserve">Note: </w:t>
      </w:r>
      <w:r w:rsidR="002468C7" w:rsidRPr="00D325AF">
        <w:rPr>
          <w:rFonts w:eastAsiaTheme="minorEastAsia"/>
          <w:sz w:val="18"/>
          <w:szCs w:val="18"/>
        </w:rPr>
        <w:t>*</w:t>
      </w:r>
      <w:r>
        <w:rPr>
          <w:rFonts w:eastAsiaTheme="minorEastAsia"/>
          <w:sz w:val="18"/>
          <w:szCs w:val="18"/>
        </w:rPr>
        <w:t>p</w:t>
      </w:r>
      <w:r w:rsidR="002468C7" w:rsidRPr="00D325AF">
        <w:rPr>
          <w:rFonts w:eastAsiaTheme="minorEastAsia"/>
          <w:sz w:val="18"/>
          <w:szCs w:val="18"/>
        </w:rPr>
        <w:t xml:space="preserve"> &lt; 0.05; </w:t>
      </w:r>
    </w:p>
    <w:p w14:paraId="721A66B5" w14:textId="3F21E674" w:rsidR="002468C7" w:rsidRPr="00D325AF" w:rsidRDefault="00D325AF" w:rsidP="00D325AF">
      <w:pPr>
        <w:spacing w:line="240" w:lineRule="auto"/>
      </w:pPr>
      <w:r>
        <w:rPr>
          <w:rFonts w:eastAsiaTheme="minorEastAsia"/>
          <w:sz w:val="18"/>
          <w:szCs w:val="18"/>
        </w:rPr>
        <w:t xml:space="preserve">Abbreviation: </w:t>
      </w:r>
      <w:r w:rsidR="002468C7" w:rsidRPr="00D325AF">
        <w:rPr>
          <w:rFonts w:cs="Times New Roman"/>
          <w:sz w:val="18"/>
          <w:szCs w:val="18"/>
          <w:vertAlign w:val="superscript"/>
        </w:rPr>
        <w:t>†</w:t>
      </w:r>
      <w:r w:rsidR="002468C7" w:rsidRPr="00D325AF">
        <w:rPr>
          <w:sz w:val="18"/>
          <w:szCs w:val="18"/>
        </w:rPr>
        <w:t>NAC</w:t>
      </w:r>
      <w:r>
        <w:rPr>
          <w:sz w:val="18"/>
          <w:szCs w:val="18"/>
        </w:rPr>
        <w:t>-</w:t>
      </w:r>
      <w:r w:rsidR="002468C7" w:rsidRPr="00D325AF">
        <w:rPr>
          <w:sz w:val="18"/>
          <w:szCs w:val="18"/>
        </w:rPr>
        <w:t>neoadjuvant chemotherapy.</w:t>
      </w:r>
    </w:p>
    <w:p w14:paraId="2A1A696D" w14:textId="77777777" w:rsidR="00106C69" w:rsidRPr="00D325AF" w:rsidRDefault="00106C69" w:rsidP="00D325AF">
      <w:pPr>
        <w:spacing w:line="240" w:lineRule="auto"/>
        <w:sectPr w:rsidR="00106C69" w:rsidRPr="00D325AF" w:rsidSect="00D325AF">
          <w:headerReference w:type="default" r:id="rId8"/>
          <w:type w:val="nextPage"/>
          <w:pgSz w:w="11900" w:h="16840"/>
          <w:pgMar w:top="1134" w:right="1134" w:bottom="1134" w:left="1134" w:header="1020" w:footer="1020" w:gutter="0"/>
          <w:cols w:space="425"/>
          <w:docGrid w:type="lines" w:linePitch="326"/>
        </w:sectPr>
      </w:pPr>
    </w:p>
    <w:p w14:paraId="2A2C4E43" w14:textId="4D5EC23F" w:rsidR="002468C7" w:rsidRPr="00D325AF" w:rsidRDefault="00D325AF" w:rsidP="00D325AF">
      <w:pPr>
        <w:spacing w:line="240" w:lineRule="auto"/>
      </w:pPr>
      <w:r>
        <w:rPr>
          <w:b/>
          <w:bCs/>
        </w:rPr>
        <w:lastRenderedPageBreak/>
        <w:t>Supplementary</w:t>
      </w:r>
      <w:r w:rsidRPr="00D325AF">
        <w:rPr>
          <w:b/>
          <w:bCs/>
        </w:rPr>
        <w:t xml:space="preserve"> </w:t>
      </w:r>
      <w:r w:rsidR="00C11400" w:rsidRPr="00D325AF">
        <w:rPr>
          <w:b/>
          <w:bCs/>
        </w:rPr>
        <w:t>Table S</w:t>
      </w:r>
      <w:r w:rsidR="00106C69" w:rsidRPr="00D325AF">
        <w:rPr>
          <w:rFonts w:hint="eastAsia"/>
          <w:b/>
          <w:bCs/>
        </w:rPr>
        <w:t>2</w:t>
      </w:r>
      <w:r>
        <w:rPr>
          <w:b/>
          <w:bCs/>
        </w:rPr>
        <w:t>.</w:t>
      </w:r>
      <w:r w:rsidR="002468C7" w:rsidRPr="00D325AF">
        <w:rPr>
          <w:b/>
          <w:bCs/>
        </w:rPr>
        <w:t xml:space="preserve"> </w:t>
      </w:r>
      <w:r w:rsidR="00106C69" w:rsidRPr="00D325AF">
        <w:t>Univariate</w:t>
      </w:r>
      <w:r w:rsidR="00106C69" w:rsidRPr="00D325AF">
        <w:rPr>
          <w:rFonts w:hint="eastAsia"/>
        </w:rPr>
        <w:t xml:space="preserve"> and m</w:t>
      </w:r>
      <w:r w:rsidR="002468C7" w:rsidRPr="00D325AF">
        <w:t xml:space="preserve">ultivariate Cox’s regression </w:t>
      </w:r>
      <w:r w:rsidR="002468C7" w:rsidRPr="00D325AF">
        <w:rPr>
          <w:rFonts w:hint="eastAsia"/>
        </w:rPr>
        <w:t>analysis</w:t>
      </w:r>
      <w:r w:rsidR="002468C7" w:rsidRPr="00D325AF">
        <w:t xml:space="preserve"> of PFS and OS prognostic factors in CRC</w:t>
      </w:r>
      <w:r>
        <w:t>.</w:t>
      </w:r>
    </w:p>
    <w:tbl>
      <w:tblPr>
        <w:tblW w:w="14455" w:type="dxa"/>
        <w:tblLook w:val="04A0" w:firstRow="1" w:lastRow="0" w:firstColumn="1" w:lastColumn="0" w:noHBand="0" w:noVBand="1"/>
      </w:tblPr>
      <w:tblGrid>
        <w:gridCol w:w="3119"/>
        <w:gridCol w:w="1814"/>
        <w:gridCol w:w="1020"/>
        <w:gridCol w:w="1814"/>
        <w:gridCol w:w="1020"/>
        <w:gridCol w:w="1814"/>
        <w:gridCol w:w="1020"/>
        <w:gridCol w:w="1814"/>
        <w:gridCol w:w="1020"/>
      </w:tblGrid>
      <w:tr w:rsidR="00106C69" w:rsidRPr="00D325AF" w14:paraId="539C875C" w14:textId="77777777" w:rsidTr="00106C69">
        <w:trPr>
          <w:trHeight w:val="346"/>
        </w:trPr>
        <w:tc>
          <w:tcPr>
            <w:tcW w:w="3119" w:type="dxa"/>
            <w:tcBorders>
              <w:top w:val="single" w:sz="4" w:space="0" w:color="auto"/>
            </w:tcBorders>
            <w:noWrap/>
            <w:hideMark/>
          </w:tcPr>
          <w:p w14:paraId="549530A9" w14:textId="77777777"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7A78A446"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OS</w:t>
            </w:r>
          </w:p>
        </w:tc>
        <w:tc>
          <w:tcPr>
            <w:tcW w:w="1020" w:type="dxa"/>
            <w:tcBorders>
              <w:top w:val="single" w:sz="4" w:space="0" w:color="auto"/>
              <w:bottom w:val="single" w:sz="4" w:space="0" w:color="auto"/>
            </w:tcBorders>
            <w:noWrap/>
            <w:hideMark/>
          </w:tcPr>
          <w:p w14:paraId="01430C51" w14:textId="77777777"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043C2EB6" w14:textId="77777777" w:rsidR="00106C69" w:rsidRPr="00D325AF" w:rsidRDefault="00106C69" w:rsidP="00D325AF">
            <w:pPr>
              <w:spacing w:line="240" w:lineRule="auto"/>
              <w:rPr>
                <w:rFonts w:cs="Times New Roman"/>
                <w:b/>
                <w:bCs/>
                <w:sz w:val="18"/>
                <w:szCs w:val="18"/>
              </w:rPr>
            </w:pPr>
          </w:p>
        </w:tc>
        <w:tc>
          <w:tcPr>
            <w:tcW w:w="1020" w:type="dxa"/>
            <w:tcBorders>
              <w:top w:val="single" w:sz="4" w:space="0" w:color="auto"/>
              <w:bottom w:val="single" w:sz="4" w:space="0" w:color="auto"/>
            </w:tcBorders>
            <w:noWrap/>
            <w:hideMark/>
          </w:tcPr>
          <w:p w14:paraId="13D8A0D6" w14:textId="77777777"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789EF0DD"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PFS</w:t>
            </w:r>
          </w:p>
        </w:tc>
        <w:tc>
          <w:tcPr>
            <w:tcW w:w="1020" w:type="dxa"/>
            <w:tcBorders>
              <w:top w:val="single" w:sz="4" w:space="0" w:color="auto"/>
              <w:bottom w:val="single" w:sz="4" w:space="0" w:color="auto"/>
            </w:tcBorders>
            <w:noWrap/>
            <w:hideMark/>
          </w:tcPr>
          <w:p w14:paraId="048B34EC" w14:textId="77777777"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6B79F74E" w14:textId="77777777" w:rsidR="00106C69" w:rsidRPr="00D325AF" w:rsidRDefault="00106C69" w:rsidP="00D325AF">
            <w:pPr>
              <w:spacing w:line="240" w:lineRule="auto"/>
              <w:rPr>
                <w:rFonts w:cs="Times New Roman"/>
                <w:b/>
                <w:bCs/>
                <w:sz w:val="18"/>
                <w:szCs w:val="18"/>
              </w:rPr>
            </w:pPr>
          </w:p>
        </w:tc>
        <w:tc>
          <w:tcPr>
            <w:tcW w:w="1020" w:type="dxa"/>
            <w:tcBorders>
              <w:top w:val="single" w:sz="4" w:space="0" w:color="auto"/>
              <w:bottom w:val="single" w:sz="4" w:space="0" w:color="auto"/>
            </w:tcBorders>
            <w:noWrap/>
            <w:hideMark/>
          </w:tcPr>
          <w:p w14:paraId="411166AB" w14:textId="77777777" w:rsidR="00106C69" w:rsidRPr="00D325AF" w:rsidRDefault="00106C69" w:rsidP="00D325AF">
            <w:pPr>
              <w:spacing w:line="240" w:lineRule="auto"/>
              <w:rPr>
                <w:rFonts w:cs="Times New Roman"/>
                <w:b/>
                <w:bCs/>
                <w:sz w:val="18"/>
                <w:szCs w:val="18"/>
              </w:rPr>
            </w:pPr>
          </w:p>
        </w:tc>
      </w:tr>
      <w:tr w:rsidR="00106C69" w:rsidRPr="00D325AF" w14:paraId="175AC8B0" w14:textId="77777777" w:rsidTr="00106C69">
        <w:trPr>
          <w:trHeight w:val="346"/>
        </w:trPr>
        <w:tc>
          <w:tcPr>
            <w:tcW w:w="3119" w:type="dxa"/>
            <w:vMerge w:val="restart"/>
            <w:noWrap/>
            <w:hideMark/>
          </w:tcPr>
          <w:p w14:paraId="3701BB13"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Variable</w:t>
            </w:r>
          </w:p>
        </w:tc>
        <w:tc>
          <w:tcPr>
            <w:tcW w:w="1814" w:type="dxa"/>
            <w:tcBorders>
              <w:top w:val="single" w:sz="4" w:space="0" w:color="auto"/>
              <w:bottom w:val="single" w:sz="4" w:space="0" w:color="auto"/>
            </w:tcBorders>
            <w:noWrap/>
            <w:hideMark/>
          </w:tcPr>
          <w:p w14:paraId="58729BE5"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Univariate</w:t>
            </w:r>
          </w:p>
        </w:tc>
        <w:tc>
          <w:tcPr>
            <w:tcW w:w="1020" w:type="dxa"/>
            <w:tcBorders>
              <w:top w:val="single" w:sz="4" w:space="0" w:color="auto"/>
              <w:bottom w:val="single" w:sz="4" w:space="0" w:color="auto"/>
            </w:tcBorders>
            <w:noWrap/>
            <w:hideMark/>
          </w:tcPr>
          <w:p w14:paraId="3FD391C8" w14:textId="100AAFC9"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328C8D95"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Multivariate</w:t>
            </w:r>
          </w:p>
        </w:tc>
        <w:tc>
          <w:tcPr>
            <w:tcW w:w="1020" w:type="dxa"/>
            <w:tcBorders>
              <w:top w:val="single" w:sz="4" w:space="0" w:color="auto"/>
              <w:bottom w:val="single" w:sz="4" w:space="0" w:color="auto"/>
            </w:tcBorders>
            <w:noWrap/>
            <w:hideMark/>
          </w:tcPr>
          <w:p w14:paraId="5520647F" w14:textId="02158E8F"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56BC2E08"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Univariate</w:t>
            </w:r>
          </w:p>
        </w:tc>
        <w:tc>
          <w:tcPr>
            <w:tcW w:w="1020" w:type="dxa"/>
            <w:tcBorders>
              <w:top w:val="single" w:sz="4" w:space="0" w:color="auto"/>
              <w:bottom w:val="single" w:sz="4" w:space="0" w:color="auto"/>
            </w:tcBorders>
            <w:noWrap/>
            <w:hideMark/>
          </w:tcPr>
          <w:p w14:paraId="0C3ED734" w14:textId="3F5384AC"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61D2A7C0" w14:textId="77777777" w:rsidR="00106C69" w:rsidRPr="00D325AF" w:rsidRDefault="00106C69" w:rsidP="00D325AF">
            <w:pPr>
              <w:spacing w:line="240" w:lineRule="auto"/>
              <w:rPr>
                <w:rFonts w:cs="Times New Roman"/>
                <w:b/>
                <w:bCs/>
                <w:sz w:val="18"/>
                <w:szCs w:val="18"/>
              </w:rPr>
            </w:pPr>
            <w:r w:rsidRPr="00D325AF">
              <w:rPr>
                <w:rFonts w:cs="Times New Roman"/>
                <w:b/>
                <w:bCs/>
                <w:sz w:val="18"/>
                <w:szCs w:val="18"/>
              </w:rPr>
              <w:t>Multivariate</w:t>
            </w:r>
          </w:p>
        </w:tc>
        <w:tc>
          <w:tcPr>
            <w:tcW w:w="1020" w:type="dxa"/>
            <w:tcBorders>
              <w:top w:val="single" w:sz="4" w:space="0" w:color="auto"/>
              <w:bottom w:val="single" w:sz="4" w:space="0" w:color="auto"/>
            </w:tcBorders>
            <w:noWrap/>
            <w:hideMark/>
          </w:tcPr>
          <w:p w14:paraId="697A63FD" w14:textId="528E7CB8" w:rsidR="00106C69" w:rsidRPr="00D325AF" w:rsidRDefault="00106C69" w:rsidP="00D325AF">
            <w:pPr>
              <w:spacing w:line="240" w:lineRule="auto"/>
              <w:rPr>
                <w:rFonts w:cs="Times New Roman"/>
                <w:b/>
                <w:bCs/>
                <w:sz w:val="18"/>
                <w:szCs w:val="18"/>
              </w:rPr>
            </w:pPr>
          </w:p>
        </w:tc>
      </w:tr>
      <w:tr w:rsidR="00106C69" w:rsidRPr="00D325AF" w14:paraId="75D311A2" w14:textId="77777777" w:rsidTr="00106C69">
        <w:trPr>
          <w:trHeight w:val="346"/>
        </w:trPr>
        <w:tc>
          <w:tcPr>
            <w:tcW w:w="3119" w:type="dxa"/>
            <w:vMerge/>
            <w:tcBorders>
              <w:bottom w:val="single" w:sz="4" w:space="0" w:color="auto"/>
            </w:tcBorders>
            <w:hideMark/>
          </w:tcPr>
          <w:p w14:paraId="10D1D15F" w14:textId="77777777" w:rsidR="00106C69" w:rsidRPr="00D325AF" w:rsidRDefault="00106C69" w:rsidP="00D325AF">
            <w:pPr>
              <w:spacing w:line="240" w:lineRule="auto"/>
              <w:rPr>
                <w:rFonts w:cs="Times New Roman"/>
                <w:b/>
                <w:bCs/>
                <w:sz w:val="18"/>
                <w:szCs w:val="18"/>
              </w:rPr>
            </w:pPr>
          </w:p>
        </w:tc>
        <w:tc>
          <w:tcPr>
            <w:tcW w:w="1814" w:type="dxa"/>
            <w:tcBorders>
              <w:top w:val="single" w:sz="4" w:space="0" w:color="auto"/>
              <w:bottom w:val="single" w:sz="4" w:space="0" w:color="auto"/>
            </w:tcBorders>
            <w:noWrap/>
            <w:hideMark/>
          </w:tcPr>
          <w:p w14:paraId="5C59DD49" w14:textId="052D5BBD" w:rsidR="00106C69" w:rsidRPr="00D325AF" w:rsidRDefault="00106C69" w:rsidP="00D325AF">
            <w:pPr>
              <w:spacing w:line="240" w:lineRule="auto"/>
              <w:rPr>
                <w:rFonts w:cs="Times New Roman"/>
                <w:b/>
                <w:bCs/>
                <w:sz w:val="18"/>
                <w:szCs w:val="18"/>
              </w:rPr>
            </w:pPr>
            <w:r w:rsidRPr="00D325AF">
              <w:rPr>
                <w:rFonts w:cs="Times New Roman"/>
                <w:b/>
                <w:bCs/>
                <w:sz w:val="18"/>
                <w:szCs w:val="18"/>
              </w:rPr>
              <w:t>HR (95%</w:t>
            </w:r>
            <w:r w:rsidR="00257E2E">
              <w:rPr>
                <w:rFonts w:cs="Times New Roman"/>
                <w:b/>
                <w:bCs/>
                <w:sz w:val="18"/>
                <w:szCs w:val="18"/>
              </w:rPr>
              <w:t xml:space="preserve"> </w:t>
            </w:r>
            <w:r w:rsidRPr="00D325AF">
              <w:rPr>
                <w:rFonts w:cs="Times New Roman"/>
                <w:b/>
                <w:bCs/>
                <w:sz w:val="18"/>
                <w:szCs w:val="18"/>
              </w:rPr>
              <w:t>CI)</w:t>
            </w:r>
          </w:p>
        </w:tc>
        <w:tc>
          <w:tcPr>
            <w:tcW w:w="1020" w:type="dxa"/>
            <w:tcBorders>
              <w:top w:val="single" w:sz="4" w:space="0" w:color="auto"/>
              <w:bottom w:val="single" w:sz="4" w:space="0" w:color="auto"/>
            </w:tcBorders>
            <w:noWrap/>
            <w:hideMark/>
          </w:tcPr>
          <w:p w14:paraId="7E8B2710" w14:textId="5FB74513" w:rsidR="00106C69" w:rsidRPr="00D325AF" w:rsidRDefault="00D325AF" w:rsidP="00D325AF">
            <w:pPr>
              <w:spacing w:line="240" w:lineRule="auto"/>
              <w:rPr>
                <w:rFonts w:cs="Times New Roman"/>
                <w:b/>
                <w:bCs/>
                <w:sz w:val="18"/>
                <w:szCs w:val="18"/>
              </w:rPr>
            </w:pPr>
            <w:r>
              <w:rPr>
                <w:rFonts w:cs="Times New Roman"/>
                <w:b/>
                <w:bCs/>
                <w:sz w:val="18"/>
                <w:szCs w:val="18"/>
              </w:rPr>
              <w:t>p-value</w:t>
            </w:r>
          </w:p>
        </w:tc>
        <w:tc>
          <w:tcPr>
            <w:tcW w:w="1814" w:type="dxa"/>
            <w:tcBorders>
              <w:top w:val="single" w:sz="4" w:space="0" w:color="auto"/>
              <w:bottom w:val="single" w:sz="4" w:space="0" w:color="auto"/>
            </w:tcBorders>
            <w:noWrap/>
            <w:hideMark/>
          </w:tcPr>
          <w:p w14:paraId="3B668015" w14:textId="4F4E2D51" w:rsidR="00106C69" w:rsidRPr="00D325AF" w:rsidRDefault="00106C69" w:rsidP="00D325AF">
            <w:pPr>
              <w:spacing w:line="240" w:lineRule="auto"/>
              <w:rPr>
                <w:rFonts w:cs="Times New Roman"/>
                <w:b/>
                <w:bCs/>
                <w:sz w:val="18"/>
                <w:szCs w:val="18"/>
              </w:rPr>
            </w:pPr>
            <w:r w:rsidRPr="00D325AF">
              <w:rPr>
                <w:rFonts w:cs="Times New Roman"/>
                <w:b/>
                <w:bCs/>
                <w:sz w:val="18"/>
                <w:szCs w:val="18"/>
              </w:rPr>
              <w:t>HR (95%</w:t>
            </w:r>
            <w:r w:rsidR="00257E2E">
              <w:rPr>
                <w:rFonts w:cs="Times New Roman"/>
                <w:b/>
                <w:bCs/>
                <w:sz w:val="18"/>
                <w:szCs w:val="18"/>
              </w:rPr>
              <w:t xml:space="preserve"> </w:t>
            </w:r>
            <w:r w:rsidRPr="00D325AF">
              <w:rPr>
                <w:rFonts w:cs="Times New Roman"/>
                <w:b/>
                <w:bCs/>
                <w:sz w:val="18"/>
                <w:szCs w:val="18"/>
              </w:rPr>
              <w:t>CI)</w:t>
            </w:r>
          </w:p>
        </w:tc>
        <w:tc>
          <w:tcPr>
            <w:tcW w:w="1020" w:type="dxa"/>
            <w:tcBorders>
              <w:top w:val="single" w:sz="4" w:space="0" w:color="auto"/>
              <w:bottom w:val="single" w:sz="4" w:space="0" w:color="auto"/>
            </w:tcBorders>
            <w:noWrap/>
            <w:hideMark/>
          </w:tcPr>
          <w:p w14:paraId="664C756D" w14:textId="053F9F81" w:rsidR="00106C69" w:rsidRPr="00D325AF" w:rsidRDefault="00D325AF" w:rsidP="00D325AF">
            <w:pPr>
              <w:spacing w:line="240" w:lineRule="auto"/>
              <w:rPr>
                <w:rFonts w:cs="Times New Roman"/>
                <w:b/>
                <w:bCs/>
                <w:sz w:val="18"/>
                <w:szCs w:val="18"/>
              </w:rPr>
            </w:pPr>
            <w:r>
              <w:rPr>
                <w:rFonts w:cs="Times New Roman"/>
                <w:b/>
                <w:bCs/>
                <w:sz w:val="18"/>
                <w:szCs w:val="18"/>
              </w:rPr>
              <w:t>p-value</w:t>
            </w:r>
          </w:p>
        </w:tc>
        <w:tc>
          <w:tcPr>
            <w:tcW w:w="1814" w:type="dxa"/>
            <w:tcBorders>
              <w:top w:val="single" w:sz="4" w:space="0" w:color="auto"/>
              <w:bottom w:val="single" w:sz="4" w:space="0" w:color="auto"/>
            </w:tcBorders>
            <w:noWrap/>
            <w:hideMark/>
          </w:tcPr>
          <w:p w14:paraId="1E41C199" w14:textId="53A07FA8" w:rsidR="00106C69" w:rsidRPr="00D325AF" w:rsidRDefault="00106C69" w:rsidP="00D325AF">
            <w:pPr>
              <w:spacing w:line="240" w:lineRule="auto"/>
              <w:rPr>
                <w:rFonts w:cs="Times New Roman"/>
                <w:b/>
                <w:bCs/>
                <w:sz w:val="18"/>
                <w:szCs w:val="18"/>
              </w:rPr>
            </w:pPr>
            <w:r w:rsidRPr="00D325AF">
              <w:rPr>
                <w:rFonts w:cs="Times New Roman"/>
                <w:b/>
                <w:bCs/>
                <w:sz w:val="18"/>
                <w:szCs w:val="18"/>
              </w:rPr>
              <w:t>HR (95%</w:t>
            </w:r>
            <w:r w:rsidR="00257E2E">
              <w:rPr>
                <w:rFonts w:cs="Times New Roman"/>
                <w:b/>
                <w:bCs/>
                <w:sz w:val="18"/>
                <w:szCs w:val="18"/>
              </w:rPr>
              <w:t xml:space="preserve"> </w:t>
            </w:r>
            <w:r w:rsidRPr="00D325AF">
              <w:rPr>
                <w:rFonts w:cs="Times New Roman"/>
                <w:b/>
                <w:bCs/>
                <w:sz w:val="18"/>
                <w:szCs w:val="18"/>
              </w:rPr>
              <w:t>CI)</w:t>
            </w:r>
          </w:p>
        </w:tc>
        <w:tc>
          <w:tcPr>
            <w:tcW w:w="1020" w:type="dxa"/>
            <w:tcBorders>
              <w:top w:val="single" w:sz="4" w:space="0" w:color="auto"/>
              <w:bottom w:val="single" w:sz="4" w:space="0" w:color="auto"/>
            </w:tcBorders>
            <w:noWrap/>
            <w:hideMark/>
          </w:tcPr>
          <w:p w14:paraId="5BACCCBE" w14:textId="5A1195AA" w:rsidR="00106C69" w:rsidRPr="00D325AF" w:rsidRDefault="00D325AF" w:rsidP="00D325AF">
            <w:pPr>
              <w:spacing w:line="240" w:lineRule="auto"/>
              <w:rPr>
                <w:rFonts w:cs="Times New Roman"/>
                <w:b/>
                <w:bCs/>
                <w:sz w:val="18"/>
                <w:szCs w:val="18"/>
              </w:rPr>
            </w:pPr>
            <w:r>
              <w:rPr>
                <w:rFonts w:cs="Times New Roman"/>
                <w:b/>
                <w:bCs/>
                <w:sz w:val="18"/>
                <w:szCs w:val="18"/>
              </w:rPr>
              <w:t>p-value</w:t>
            </w:r>
          </w:p>
        </w:tc>
        <w:tc>
          <w:tcPr>
            <w:tcW w:w="1814" w:type="dxa"/>
            <w:tcBorders>
              <w:top w:val="single" w:sz="4" w:space="0" w:color="auto"/>
              <w:bottom w:val="single" w:sz="4" w:space="0" w:color="auto"/>
            </w:tcBorders>
            <w:noWrap/>
            <w:hideMark/>
          </w:tcPr>
          <w:p w14:paraId="0F377DC7" w14:textId="6588FEB6" w:rsidR="00106C69" w:rsidRPr="00D325AF" w:rsidRDefault="00106C69" w:rsidP="00D325AF">
            <w:pPr>
              <w:spacing w:line="240" w:lineRule="auto"/>
              <w:rPr>
                <w:rFonts w:cs="Times New Roman"/>
                <w:b/>
                <w:bCs/>
                <w:sz w:val="18"/>
                <w:szCs w:val="18"/>
              </w:rPr>
            </w:pPr>
            <w:r w:rsidRPr="00D325AF">
              <w:rPr>
                <w:rFonts w:cs="Times New Roman"/>
                <w:b/>
                <w:bCs/>
                <w:sz w:val="18"/>
                <w:szCs w:val="18"/>
              </w:rPr>
              <w:t>HR (95%</w:t>
            </w:r>
            <w:r w:rsidR="00257E2E">
              <w:rPr>
                <w:rFonts w:cs="Times New Roman"/>
                <w:b/>
                <w:bCs/>
                <w:sz w:val="18"/>
                <w:szCs w:val="18"/>
              </w:rPr>
              <w:t xml:space="preserve"> </w:t>
            </w:r>
            <w:r w:rsidRPr="00D325AF">
              <w:rPr>
                <w:rFonts w:cs="Times New Roman"/>
                <w:b/>
                <w:bCs/>
                <w:sz w:val="18"/>
                <w:szCs w:val="18"/>
              </w:rPr>
              <w:t>CI)</w:t>
            </w:r>
          </w:p>
        </w:tc>
        <w:tc>
          <w:tcPr>
            <w:tcW w:w="1020" w:type="dxa"/>
            <w:tcBorders>
              <w:top w:val="single" w:sz="4" w:space="0" w:color="auto"/>
              <w:bottom w:val="single" w:sz="4" w:space="0" w:color="auto"/>
            </w:tcBorders>
            <w:noWrap/>
            <w:hideMark/>
          </w:tcPr>
          <w:p w14:paraId="5EE0EC38" w14:textId="5ED38834" w:rsidR="00106C69" w:rsidRPr="00D325AF" w:rsidRDefault="00D325AF" w:rsidP="00D325AF">
            <w:pPr>
              <w:spacing w:line="240" w:lineRule="auto"/>
              <w:rPr>
                <w:rFonts w:cs="Times New Roman"/>
                <w:b/>
                <w:bCs/>
                <w:sz w:val="18"/>
                <w:szCs w:val="18"/>
              </w:rPr>
            </w:pPr>
            <w:r>
              <w:rPr>
                <w:rFonts w:cs="Times New Roman"/>
                <w:b/>
                <w:bCs/>
                <w:sz w:val="18"/>
                <w:szCs w:val="18"/>
              </w:rPr>
              <w:t>p-value</w:t>
            </w:r>
          </w:p>
        </w:tc>
      </w:tr>
      <w:tr w:rsidR="003C2A40" w:rsidRPr="00D325AF" w14:paraId="13376C29" w14:textId="77777777" w:rsidTr="00106C69">
        <w:trPr>
          <w:trHeight w:val="346"/>
        </w:trPr>
        <w:tc>
          <w:tcPr>
            <w:tcW w:w="3119" w:type="dxa"/>
            <w:tcBorders>
              <w:top w:val="single" w:sz="4" w:space="0" w:color="auto"/>
            </w:tcBorders>
            <w:noWrap/>
            <w:hideMark/>
          </w:tcPr>
          <w:p w14:paraId="3D586644" w14:textId="59D3B349" w:rsidR="003C2A40" w:rsidRPr="00D325AF" w:rsidRDefault="003C2A40" w:rsidP="00D325AF">
            <w:pPr>
              <w:spacing w:line="240" w:lineRule="auto"/>
              <w:rPr>
                <w:rFonts w:cs="Times New Roman"/>
                <w:sz w:val="18"/>
                <w:szCs w:val="18"/>
              </w:rPr>
            </w:pPr>
            <w:r w:rsidRPr="00D325AF">
              <w:rPr>
                <w:rFonts w:cs="Times New Roman"/>
                <w:sz w:val="18"/>
                <w:szCs w:val="18"/>
              </w:rPr>
              <w:t>LNM</w:t>
            </w:r>
            <w:r w:rsidRPr="00D325AF">
              <w:rPr>
                <w:rFonts w:cs="Times New Roman"/>
                <w:sz w:val="18"/>
                <w:szCs w:val="18"/>
                <w:vertAlign w:val="superscript"/>
              </w:rPr>
              <w:t>§</w:t>
            </w:r>
            <w:r w:rsidRPr="00D325AF">
              <w:rPr>
                <w:rFonts w:cs="Times New Roman"/>
                <w:sz w:val="18"/>
                <w:szCs w:val="18"/>
              </w:rPr>
              <w:t xml:space="preserve"> (yes vs. no)</w:t>
            </w:r>
            <w:r w:rsidRPr="00D325AF">
              <w:rPr>
                <w:rFonts w:cs="Times New Roman" w:hint="eastAsia"/>
                <w:sz w:val="18"/>
                <w:szCs w:val="18"/>
              </w:rPr>
              <w:t xml:space="preserve"> </w:t>
            </w:r>
          </w:p>
        </w:tc>
        <w:tc>
          <w:tcPr>
            <w:tcW w:w="1814" w:type="dxa"/>
            <w:tcBorders>
              <w:top w:val="single" w:sz="4" w:space="0" w:color="auto"/>
            </w:tcBorders>
            <w:noWrap/>
            <w:hideMark/>
          </w:tcPr>
          <w:p w14:paraId="035826A2" w14:textId="3927D037" w:rsidR="003C2A40" w:rsidRPr="00D325AF" w:rsidRDefault="003C2A40" w:rsidP="00D325AF">
            <w:pPr>
              <w:spacing w:line="240" w:lineRule="auto"/>
              <w:rPr>
                <w:rFonts w:cs="Times New Roman"/>
                <w:sz w:val="18"/>
                <w:szCs w:val="18"/>
              </w:rPr>
            </w:pPr>
            <w:r w:rsidRPr="00D325AF">
              <w:rPr>
                <w:rFonts w:cs="Times New Roman"/>
                <w:sz w:val="18"/>
                <w:szCs w:val="18"/>
              </w:rPr>
              <w:t>6.087 (3.033, 12.214)</w:t>
            </w:r>
          </w:p>
        </w:tc>
        <w:tc>
          <w:tcPr>
            <w:tcW w:w="1020" w:type="dxa"/>
            <w:tcBorders>
              <w:top w:val="single" w:sz="4" w:space="0" w:color="auto"/>
            </w:tcBorders>
            <w:noWrap/>
            <w:hideMark/>
          </w:tcPr>
          <w:p w14:paraId="67CEC5DA" w14:textId="3EDDF74F" w:rsidR="003C2A40" w:rsidRPr="00D325AF" w:rsidRDefault="003C2A40" w:rsidP="00D325AF">
            <w:pPr>
              <w:spacing w:line="240" w:lineRule="auto"/>
              <w:rPr>
                <w:rFonts w:cs="Times New Roman"/>
                <w:b/>
                <w:bCs/>
                <w:sz w:val="18"/>
                <w:szCs w:val="18"/>
              </w:rPr>
            </w:pPr>
            <w:r w:rsidRPr="00D325AF">
              <w:rPr>
                <w:rFonts w:cs="Times New Roman"/>
                <w:b/>
                <w:bCs/>
                <w:sz w:val="18"/>
                <w:szCs w:val="18"/>
              </w:rPr>
              <w:t>&lt;</w:t>
            </w:r>
            <w:r w:rsidR="00D325AF">
              <w:rPr>
                <w:rFonts w:cs="Times New Roman"/>
                <w:b/>
                <w:bCs/>
                <w:sz w:val="18"/>
                <w:szCs w:val="18"/>
              </w:rPr>
              <w:t xml:space="preserve"> </w:t>
            </w:r>
            <w:r w:rsidRPr="00D325AF">
              <w:rPr>
                <w:rFonts w:cs="Times New Roman"/>
                <w:b/>
                <w:bCs/>
                <w:sz w:val="18"/>
                <w:szCs w:val="18"/>
              </w:rPr>
              <w:t>0.001</w:t>
            </w:r>
            <w:r w:rsidRPr="00D325AF">
              <w:rPr>
                <w:rFonts w:eastAsiaTheme="minorEastAsia" w:cs="Times New Roman"/>
                <w:b/>
                <w:bCs/>
                <w:sz w:val="18"/>
                <w:szCs w:val="18"/>
              </w:rPr>
              <w:t>**</w:t>
            </w:r>
          </w:p>
        </w:tc>
        <w:tc>
          <w:tcPr>
            <w:tcW w:w="1814" w:type="dxa"/>
            <w:tcBorders>
              <w:top w:val="single" w:sz="4" w:space="0" w:color="auto"/>
            </w:tcBorders>
            <w:noWrap/>
            <w:hideMark/>
          </w:tcPr>
          <w:p w14:paraId="02893476" w14:textId="111099ED" w:rsidR="003C2A40" w:rsidRPr="00D325AF" w:rsidRDefault="003C2A40" w:rsidP="00D325AF">
            <w:pPr>
              <w:spacing w:line="240" w:lineRule="auto"/>
              <w:rPr>
                <w:rFonts w:cs="Times New Roman"/>
                <w:sz w:val="18"/>
                <w:szCs w:val="18"/>
              </w:rPr>
            </w:pPr>
            <w:r w:rsidRPr="00D325AF">
              <w:rPr>
                <w:rFonts w:cs="Times New Roman"/>
                <w:sz w:val="18"/>
                <w:szCs w:val="18"/>
              </w:rPr>
              <w:t>2.659 (1.220, 5.795)</w:t>
            </w:r>
          </w:p>
        </w:tc>
        <w:tc>
          <w:tcPr>
            <w:tcW w:w="1020" w:type="dxa"/>
            <w:tcBorders>
              <w:top w:val="single" w:sz="4" w:space="0" w:color="auto"/>
            </w:tcBorders>
            <w:noWrap/>
            <w:hideMark/>
          </w:tcPr>
          <w:p w14:paraId="64AE346F" w14:textId="515F1AA2" w:rsidR="003C2A40" w:rsidRPr="00D325AF" w:rsidRDefault="003C2A40" w:rsidP="00D325AF">
            <w:pPr>
              <w:spacing w:line="240" w:lineRule="auto"/>
              <w:rPr>
                <w:rFonts w:cs="Times New Roman"/>
                <w:b/>
                <w:bCs/>
                <w:sz w:val="18"/>
                <w:szCs w:val="18"/>
              </w:rPr>
            </w:pPr>
            <w:r w:rsidRPr="00D325AF">
              <w:rPr>
                <w:rFonts w:cs="Times New Roman"/>
                <w:b/>
                <w:bCs/>
                <w:sz w:val="18"/>
                <w:szCs w:val="18"/>
              </w:rPr>
              <w:t>0.014</w:t>
            </w:r>
            <w:r w:rsidRPr="00D325AF">
              <w:rPr>
                <w:rFonts w:eastAsiaTheme="minorEastAsia" w:cs="Times New Roman"/>
                <w:b/>
                <w:bCs/>
                <w:sz w:val="18"/>
                <w:szCs w:val="18"/>
              </w:rPr>
              <w:t>*</w:t>
            </w:r>
          </w:p>
        </w:tc>
        <w:tc>
          <w:tcPr>
            <w:tcW w:w="1814" w:type="dxa"/>
            <w:tcBorders>
              <w:top w:val="single" w:sz="4" w:space="0" w:color="auto"/>
            </w:tcBorders>
            <w:noWrap/>
            <w:hideMark/>
          </w:tcPr>
          <w:p w14:paraId="0A1E6E8E" w14:textId="5FE90223" w:rsidR="003C2A40" w:rsidRPr="00D325AF" w:rsidRDefault="003C2A40" w:rsidP="00D325AF">
            <w:pPr>
              <w:spacing w:line="240" w:lineRule="auto"/>
              <w:rPr>
                <w:rFonts w:cs="Times New Roman"/>
                <w:sz w:val="18"/>
                <w:szCs w:val="18"/>
              </w:rPr>
            </w:pPr>
            <w:r w:rsidRPr="00D325AF">
              <w:rPr>
                <w:rFonts w:cs="Times New Roman"/>
                <w:sz w:val="18"/>
                <w:szCs w:val="18"/>
              </w:rPr>
              <w:t>3.659 (2.212, 6.053)</w:t>
            </w:r>
          </w:p>
        </w:tc>
        <w:tc>
          <w:tcPr>
            <w:tcW w:w="1020" w:type="dxa"/>
            <w:tcBorders>
              <w:top w:val="single" w:sz="4" w:space="0" w:color="auto"/>
            </w:tcBorders>
            <w:noWrap/>
            <w:hideMark/>
          </w:tcPr>
          <w:p w14:paraId="4C83FB1A" w14:textId="741D0F6D" w:rsidR="003C2A40" w:rsidRPr="00D325AF" w:rsidRDefault="003C2A40" w:rsidP="00D325AF">
            <w:pPr>
              <w:spacing w:line="240" w:lineRule="auto"/>
              <w:rPr>
                <w:rFonts w:cs="Times New Roman"/>
                <w:b/>
                <w:bCs/>
                <w:sz w:val="18"/>
                <w:szCs w:val="18"/>
              </w:rPr>
            </w:pPr>
            <w:r w:rsidRPr="00D325AF">
              <w:rPr>
                <w:rFonts w:cs="Times New Roman"/>
                <w:b/>
                <w:bCs/>
                <w:sz w:val="18"/>
                <w:szCs w:val="18"/>
              </w:rPr>
              <w:t>&lt;</w:t>
            </w:r>
            <w:r w:rsidR="00D325AF" w:rsidRPr="00D325AF">
              <w:rPr>
                <w:rFonts w:cs="Times New Roman"/>
                <w:b/>
                <w:bCs/>
                <w:sz w:val="18"/>
                <w:szCs w:val="18"/>
              </w:rPr>
              <w:t xml:space="preserve"> </w:t>
            </w:r>
            <w:r w:rsidRPr="00D325AF">
              <w:rPr>
                <w:rFonts w:cs="Times New Roman"/>
                <w:b/>
                <w:bCs/>
                <w:sz w:val="18"/>
                <w:szCs w:val="18"/>
              </w:rPr>
              <w:t>0.001</w:t>
            </w:r>
            <w:r w:rsidRPr="00D325AF">
              <w:rPr>
                <w:rFonts w:eastAsiaTheme="minorEastAsia" w:cs="Times New Roman"/>
                <w:b/>
                <w:bCs/>
                <w:sz w:val="18"/>
                <w:szCs w:val="18"/>
              </w:rPr>
              <w:t>**</w:t>
            </w:r>
          </w:p>
        </w:tc>
        <w:tc>
          <w:tcPr>
            <w:tcW w:w="1814" w:type="dxa"/>
            <w:tcBorders>
              <w:top w:val="single" w:sz="4" w:space="0" w:color="auto"/>
            </w:tcBorders>
            <w:noWrap/>
            <w:hideMark/>
          </w:tcPr>
          <w:p w14:paraId="7E44F327" w14:textId="5A534421" w:rsidR="003C2A40" w:rsidRPr="00D325AF" w:rsidRDefault="003C2A40" w:rsidP="00D325AF">
            <w:pPr>
              <w:spacing w:line="240" w:lineRule="auto"/>
              <w:rPr>
                <w:rFonts w:cs="Times New Roman"/>
                <w:sz w:val="18"/>
                <w:szCs w:val="18"/>
              </w:rPr>
            </w:pPr>
            <w:r w:rsidRPr="00D325AF">
              <w:rPr>
                <w:rFonts w:cs="Times New Roman"/>
                <w:sz w:val="18"/>
                <w:szCs w:val="18"/>
              </w:rPr>
              <w:t>2.089 (1.189, 3.671)</w:t>
            </w:r>
          </w:p>
        </w:tc>
        <w:tc>
          <w:tcPr>
            <w:tcW w:w="1020" w:type="dxa"/>
            <w:tcBorders>
              <w:top w:val="single" w:sz="4" w:space="0" w:color="auto"/>
            </w:tcBorders>
            <w:noWrap/>
            <w:hideMark/>
          </w:tcPr>
          <w:p w14:paraId="36310FC9" w14:textId="10511832" w:rsidR="003C2A40" w:rsidRPr="00D325AF" w:rsidRDefault="003C2A40" w:rsidP="00D325AF">
            <w:pPr>
              <w:spacing w:line="240" w:lineRule="auto"/>
              <w:rPr>
                <w:rFonts w:cs="Times New Roman"/>
                <w:b/>
                <w:bCs/>
                <w:sz w:val="18"/>
                <w:szCs w:val="18"/>
              </w:rPr>
            </w:pPr>
            <w:r w:rsidRPr="00D325AF">
              <w:rPr>
                <w:rFonts w:cs="Times New Roman"/>
                <w:b/>
                <w:bCs/>
                <w:sz w:val="18"/>
                <w:szCs w:val="18"/>
              </w:rPr>
              <w:t>0.01</w:t>
            </w:r>
            <w:r w:rsidRPr="00D325AF">
              <w:rPr>
                <w:rFonts w:cs="Times New Roman" w:hint="eastAsia"/>
                <w:b/>
                <w:bCs/>
                <w:sz w:val="18"/>
                <w:szCs w:val="18"/>
              </w:rPr>
              <w:t>0</w:t>
            </w:r>
            <w:r w:rsidRPr="00D325AF">
              <w:rPr>
                <w:rFonts w:eastAsiaTheme="minorEastAsia" w:cs="Times New Roman"/>
                <w:b/>
                <w:bCs/>
                <w:sz w:val="18"/>
                <w:szCs w:val="18"/>
              </w:rPr>
              <w:t>*</w:t>
            </w:r>
          </w:p>
        </w:tc>
      </w:tr>
      <w:tr w:rsidR="003C2A40" w:rsidRPr="00D325AF" w14:paraId="452DC018" w14:textId="77777777" w:rsidTr="00106C69">
        <w:trPr>
          <w:trHeight w:val="346"/>
        </w:trPr>
        <w:tc>
          <w:tcPr>
            <w:tcW w:w="3119" w:type="dxa"/>
            <w:noWrap/>
            <w:hideMark/>
          </w:tcPr>
          <w:p w14:paraId="503D2813" w14:textId="768535F2" w:rsidR="003C2A40" w:rsidRPr="00D325AF" w:rsidRDefault="003C2A40" w:rsidP="00D325AF">
            <w:pPr>
              <w:spacing w:line="240" w:lineRule="auto"/>
              <w:rPr>
                <w:rFonts w:cs="Times New Roman"/>
                <w:sz w:val="18"/>
                <w:szCs w:val="18"/>
              </w:rPr>
            </w:pPr>
            <w:r w:rsidRPr="00D325AF">
              <w:rPr>
                <w:rFonts w:cs="Times New Roman"/>
                <w:sz w:val="18"/>
                <w:szCs w:val="18"/>
              </w:rPr>
              <w:t>Age (≥ 60 vs. &lt; 60)</w:t>
            </w:r>
          </w:p>
        </w:tc>
        <w:tc>
          <w:tcPr>
            <w:tcW w:w="1814" w:type="dxa"/>
            <w:noWrap/>
            <w:hideMark/>
          </w:tcPr>
          <w:p w14:paraId="5537502B" w14:textId="0551105F" w:rsidR="003C2A40" w:rsidRPr="00D325AF" w:rsidRDefault="003C2A40" w:rsidP="00D325AF">
            <w:pPr>
              <w:spacing w:line="240" w:lineRule="auto"/>
              <w:rPr>
                <w:rFonts w:cs="Times New Roman"/>
                <w:sz w:val="18"/>
                <w:szCs w:val="18"/>
              </w:rPr>
            </w:pPr>
            <w:r w:rsidRPr="00D325AF">
              <w:rPr>
                <w:rFonts w:cs="Times New Roman"/>
                <w:sz w:val="18"/>
                <w:szCs w:val="18"/>
              </w:rPr>
              <w:t>0.649 (0.331, 1.272)</w:t>
            </w:r>
          </w:p>
        </w:tc>
        <w:tc>
          <w:tcPr>
            <w:tcW w:w="1020" w:type="dxa"/>
            <w:noWrap/>
            <w:hideMark/>
          </w:tcPr>
          <w:p w14:paraId="460B77B5" w14:textId="77777777" w:rsidR="003C2A40" w:rsidRPr="00D325AF" w:rsidRDefault="003C2A40" w:rsidP="00D325AF">
            <w:pPr>
              <w:spacing w:line="240" w:lineRule="auto"/>
              <w:rPr>
                <w:rFonts w:cs="Times New Roman"/>
                <w:sz w:val="18"/>
                <w:szCs w:val="18"/>
              </w:rPr>
            </w:pPr>
            <w:r w:rsidRPr="00D325AF">
              <w:rPr>
                <w:rFonts w:cs="Times New Roman"/>
                <w:sz w:val="18"/>
                <w:szCs w:val="18"/>
              </w:rPr>
              <w:t>0.208</w:t>
            </w:r>
          </w:p>
        </w:tc>
        <w:tc>
          <w:tcPr>
            <w:tcW w:w="1814" w:type="dxa"/>
            <w:noWrap/>
            <w:hideMark/>
          </w:tcPr>
          <w:p w14:paraId="40FC3EC9" w14:textId="77777777" w:rsidR="003C2A40" w:rsidRPr="00D325AF" w:rsidRDefault="003C2A40" w:rsidP="00D325AF">
            <w:pPr>
              <w:spacing w:line="240" w:lineRule="auto"/>
              <w:rPr>
                <w:rFonts w:cs="Times New Roman"/>
                <w:sz w:val="18"/>
                <w:szCs w:val="18"/>
              </w:rPr>
            </w:pPr>
          </w:p>
        </w:tc>
        <w:tc>
          <w:tcPr>
            <w:tcW w:w="1020" w:type="dxa"/>
            <w:noWrap/>
            <w:hideMark/>
          </w:tcPr>
          <w:p w14:paraId="28016B4E" w14:textId="77777777" w:rsidR="003C2A40" w:rsidRPr="00D325AF" w:rsidRDefault="003C2A40" w:rsidP="00D325AF">
            <w:pPr>
              <w:spacing w:line="240" w:lineRule="auto"/>
              <w:rPr>
                <w:rFonts w:cs="Times New Roman"/>
                <w:sz w:val="18"/>
                <w:szCs w:val="18"/>
              </w:rPr>
            </w:pPr>
          </w:p>
        </w:tc>
        <w:tc>
          <w:tcPr>
            <w:tcW w:w="1814" w:type="dxa"/>
            <w:noWrap/>
            <w:hideMark/>
          </w:tcPr>
          <w:p w14:paraId="597E5159" w14:textId="0903EC42" w:rsidR="003C2A40" w:rsidRPr="00D325AF" w:rsidRDefault="003C2A40" w:rsidP="00D325AF">
            <w:pPr>
              <w:spacing w:line="240" w:lineRule="auto"/>
              <w:rPr>
                <w:rFonts w:cs="Times New Roman"/>
                <w:sz w:val="18"/>
                <w:szCs w:val="18"/>
              </w:rPr>
            </w:pPr>
            <w:r w:rsidRPr="00D325AF">
              <w:rPr>
                <w:rFonts w:cs="Times New Roman"/>
                <w:sz w:val="18"/>
                <w:szCs w:val="18"/>
              </w:rPr>
              <w:t>0.715 (0.434, 1.179)</w:t>
            </w:r>
          </w:p>
        </w:tc>
        <w:tc>
          <w:tcPr>
            <w:tcW w:w="1020" w:type="dxa"/>
            <w:noWrap/>
            <w:hideMark/>
          </w:tcPr>
          <w:p w14:paraId="5E039E25" w14:textId="77777777" w:rsidR="003C2A40" w:rsidRPr="00D325AF" w:rsidRDefault="003C2A40" w:rsidP="00D325AF">
            <w:pPr>
              <w:spacing w:line="240" w:lineRule="auto"/>
              <w:rPr>
                <w:rFonts w:cs="Times New Roman"/>
                <w:sz w:val="18"/>
                <w:szCs w:val="18"/>
              </w:rPr>
            </w:pPr>
            <w:r w:rsidRPr="00D325AF">
              <w:rPr>
                <w:rFonts w:cs="Times New Roman"/>
                <w:sz w:val="18"/>
                <w:szCs w:val="18"/>
              </w:rPr>
              <w:t>0.189</w:t>
            </w:r>
          </w:p>
        </w:tc>
        <w:tc>
          <w:tcPr>
            <w:tcW w:w="1814" w:type="dxa"/>
            <w:noWrap/>
            <w:hideMark/>
          </w:tcPr>
          <w:p w14:paraId="4BD6D0F9" w14:textId="77777777" w:rsidR="003C2A40" w:rsidRPr="00D325AF" w:rsidRDefault="003C2A40" w:rsidP="00D325AF">
            <w:pPr>
              <w:spacing w:line="240" w:lineRule="auto"/>
              <w:rPr>
                <w:rFonts w:cs="Times New Roman"/>
                <w:sz w:val="18"/>
                <w:szCs w:val="18"/>
              </w:rPr>
            </w:pPr>
          </w:p>
        </w:tc>
        <w:tc>
          <w:tcPr>
            <w:tcW w:w="1020" w:type="dxa"/>
            <w:noWrap/>
            <w:hideMark/>
          </w:tcPr>
          <w:p w14:paraId="0B1BD101" w14:textId="77777777" w:rsidR="003C2A40" w:rsidRPr="00D325AF" w:rsidRDefault="003C2A40" w:rsidP="00D325AF">
            <w:pPr>
              <w:spacing w:line="240" w:lineRule="auto"/>
              <w:rPr>
                <w:rFonts w:cs="Times New Roman"/>
                <w:sz w:val="18"/>
                <w:szCs w:val="18"/>
              </w:rPr>
            </w:pPr>
          </w:p>
        </w:tc>
      </w:tr>
      <w:tr w:rsidR="003C2A40" w:rsidRPr="00D325AF" w14:paraId="054F7741" w14:textId="77777777" w:rsidTr="00106C69">
        <w:trPr>
          <w:trHeight w:val="346"/>
        </w:trPr>
        <w:tc>
          <w:tcPr>
            <w:tcW w:w="3119" w:type="dxa"/>
            <w:noWrap/>
            <w:hideMark/>
          </w:tcPr>
          <w:p w14:paraId="072F436C" w14:textId="4B0E6D78" w:rsidR="003C2A40" w:rsidRPr="00D325AF" w:rsidRDefault="003C2A40" w:rsidP="00D325AF">
            <w:pPr>
              <w:spacing w:line="240" w:lineRule="auto"/>
              <w:rPr>
                <w:rFonts w:cs="Times New Roman"/>
                <w:sz w:val="18"/>
                <w:szCs w:val="18"/>
              </w:rPr>
            </w:pPr>
            <w:r w:rsidRPr="00D325AF">
              <w:rPr>
                <w:rFonts w:cs="Times New Roman"/>
                <w:sz w:val="18"/>
                <w:szCs w:val="18"/>
              </w:rPr>
              <w:t>Sex (male vs. female)</w:t>
            </w:r>
          </w:p>
        </w:tc>
        <w:tc>
          <w:tcPr>
            <w:tcW w:w="1814" w:type="dxa"/>
            <w:noWrap/>
            <w:hideMark/>
          </w:tcPr>
          <w:p w14:paraId="3B3A2C86" w14:textId="2496A29B" w:rsidR="003C2A40" w:rsidRPr="00D325AF" w:rsidRDefault="003C2A40" w:rsidP="00D325AF">
            <w:pPr>
              <w:spacing w:line="240" w:lineRule="auto"/>
              <w:rPr>
                <w:rFonts w:cs="Times New Roman"/>
                <w:sz w:val="18"/>
                <w:szCs w:val="18"/>
              </w:rPr>
            </w:pPr>
            <w:r w:rsidRPr="00D325AF">
              <w:rPr>
                <w:rFonts w:cs="Times New Roman"/>
                <w:sz w:val="18"/>
                <w:szCs w:val="18"/>
              </w:rPr>
              <w:t>1.093 (0.552, 2.166)</w:t>
            </w:r>
          </w:p>
        </w:tc>
        <w:tc>
          <w:tcPr>
            <w:tcW w:w="1020" w:type="dxa"/>
            <w:noWrap/>
            <w:hideMark/>
          </w:tcPr>
          <w:p w14:paraId="41CAE38D" w14:textId="77777777" w:rsidR="003C2A40" w:rsidRPr="00D325AF" w:rsidRDefault="003C2A40" w:rsidP="00D325AF">
            <w:pPr>
              <w:spacing w:line="240" w:lineRule="auto"/>
              <w:rPr>
                <w:rFonts w:cs="Times New Roman"/>
                <w:sz w:val="18"/>
                <w:szCs w:val="18"/>
              </w:rPr>
            </w:pPr>
            <w:r w:rsidRPr="00D325AF">
              <w:rPr>
                <w:rFonts w:cs="Times New Roman"/>
                <w:sz w:val="18"/>
                <w:szCs w:val="18"/>
              </w:rPr>
              <w:t>0.798</w:t>
            </w:r>
          </w:p>
        </w:tc>
        <w:tc>
          <w:tcPr>
            <w:tcW w:w="1814" w:type="dxa"/>
            <w:noWrap/>
            <w:hideMark/>
          </w:tcPr>
          <w:p w14:paraId="1F886E05" w14:textId="77777777" w:rsidR="003C2A40" w:rsidRPr="00D325AF" w:rsidRDefault="003C2A40" w:rsidP="00D325AF">
            <w:pPr>
              <w:spacing w:line="240" w:lineRule="auto"/>
              <w:rPr>
                <w:rFonts w:cs="Times New Roman"/>
                <w:sz w:val="18"/>
                <w:szCs w:val="18"/>
              </w:rPr>
            </w:pPr>
          </w:p>
        </w:tc>
        <w:tc>
          <w:tcPr>
            <w:tcW w:w="1020" w:type="dxa"/>
            <w:noWrap/>
            <w:hideMark/>
          </w:tcPr>
          <w:p w14:paraId="4FF16878" w14:textId="77777777" w:rsidR="003C2A40" w:rsidRPr="00D325AF" w:rsidRDefault="003C2A40" w:rsidP="00D325AF">
            <w:pPr>
              <w:spacing w:line="240" w:lineRule="auto"/>
              <w:rPr>
                <w:rFonts w:cs="Times New Roman"/>
                <w:sz w:val="18"/>
                <w:szCs w:val="18"/>
              </w:rPr>
            </w:pPr>
          </w:p>
        </w:tc>
        <w:tc>
          <w:tcPr>
            <w:tcW w:w="1814" w:type="dxa"/>
            <w:noWrap/>
            <w:hideMark/>
          </w:tcPr>
          <w:p w14:paraId="7B419556" w14:textId="768B56E5" w:rsidR="003C2A40" w:rsidRPr="00D325AF" w:rsidRDefault="003C2A40" w:rsidP="00D325AF">
            <w:pPr>
              <w:spacing w:line="240" w:lineRule="auto"/>
              <w:rPr>
                <w:rFonts w:cs="Times New Roman"/>
                <w:sz w:val="18"/>
                <w:szCs w:val="18"/>
              </w:rPr>
            </w:pPr>
            <w:r w:rsidRPr="00D325AF">
              <w:rPr>
                <w:rFonts w:cs="Times New Roman"/>
                <w:sz w:val="18"/>
                <w:szCs w:val="18"/>
              </w:rPr>
              <w:t>0.840 (0.498, 1.416)</w:t>
            </w:r>
          </w:p>
        </w:tc>
        <w:tc>
          <w:tcPr>
            <w:tcW w:w="1020" w:type="dxa"/>
            <w:noWrap/>
            <w:hideMark/>
          </w:tcPr>
          <w:p w14:paraId="1E0B0AF7" w14:textId="77777777" w:rsidR="003C2A40" w:rsidRPr="00D325AF" w:rsidRDefault="003C2A40" w:rsidP="00D325AF">
            <w:pPr>
              <w:spacing w:line="240" w:lineRule="auto"/>
              <w:rPr>
                <w:rFonts w:cs="Times New Roman"/>
                <w:sz w:val="18"/>
                <w:szCs w:val="18"/>
              </w:rPr>
            </w:pPr>
            <w:r w:rsidRPr="00D325AF">
              <w:rPr>
                <w:rFonts w:cs="Times New Roman"/>
                <w:sz w:val="18"/>
                <w:szCs w:val="18"/>
              </w:rPr>
              <w:t>0.512</w:t>
            </w:r>
          </w:p>
        </w:tc>
        <w:tc>
          <w:tcPr>
            <w:tcW w:w="1814" w:type="dxa"/>
            <w:noWrap/>
            <w:hideMark/>
          </w:tcPr>
          <w:p w14:paraId="28B06FFC" w14:textId="77777777" w:rsidR="003C2A40" w:rsidRPr="00D325AF" w:rsidRDefault="003C2A40" w:rsidP="00D325AF">
            <w:pPr>
              <w:spacing w:line="240" w:lineRule="auto"/>
              <w:rPr>
                <w:rFonts w:cs="Times New Roman"/>
                <w:sz w:val="18"/>
                <w:szCs w:val="18"/>
              </w:rPr>
            </w:pPr>
          </w:p>
        </w:tc>
        <w:tc>
          <w:tcPr>
            <w:tcW w:w="1020" w:type="dxa"/>
            <w:noWrap/>
            <w:hideMark/>
          </w:tcPr>
          <w:p w14:paraId="13C4F09D" w14:textId="77777777" w:rsidR="003C2A40" w:rsidRPr="00D325AF" w:rsidRDefault="003C2A40" w:rsidP="00D325AF">
            <w:pPr>
              <w:spacing w:line="240" w:lineRule="auto"/>
              <w:rPr>
                <w:rFonts w:cs="Times New Roman"/>
                <w:sz w:val="18"/>
                <w:szCs w:val="18"/>
              </w:rPr>
            </w:pPr>
          </w:p>
        </w:tc>
      </w:tr>
      <w:tr w:rsidR="003C2A40" w:rsidRPr="00D325AF" w14:paraId="57316E9C" w14:textId="77777777" w:rsidTr="00106C69">
        <w:trPr>
          <w:trHeight w:val="346"/>
        </w:trPr>
        <w:tc>
          <w:tcPr>
            <w:tcW w:w="3119" w:type="dxa"/>
            <w:noWrap/>
            <w:hideMark/>
          </w:tcPr>
          <w:p w14:paraId="549E9F46" w14:textId="77777777" w:rsidR="003C2A40" w:rsidRPr="00D325AF" w:rsidRDefault="003C2A40" w:rsidP="00D325AF">
            <w:pPr>
              <w:spacing w:line="240" w:lineRule="auto"/>
              <w:rPr>
                <w:rFonts w:cs="Times New Roman"/>
                <w:sz w:val="18"/>
                <w:szCs w:val="18"/>
              </w:rPr>
            </w:pPr>
            <w:r w:rsidRPr="00D325AF">
              <w:rPr>
                <w:rFonts w:cs="Times New Roman"/>
                <w:sz w:val="18"/>
                <w:szCs w:val="18"/>
              </w:rPr>
              <w:t>Position (colon vs. rectum)</w:t>
            </w:r>
          </w:p>
        </w:tc>
        <w:tc>
          <w:tcPr>
            <w:tcW w:w="1814" w:type="dxa"/>
            <w:noWrap/>
            <w:hideMark/>
          </w:tcPr>
          <w:p w14:paraId="64513624" w14:textId="141288D3" w:rsidR="003C2A40" w:rsidRPr="00D325AF" w:rsidRDefault="003C2A40" w:rsidP="00D325AF">
            <w:pPr>
              <w:spacing w:line="240" w:lineRule="auto"/>
              <w:rPr>
                <w:rFonts w:cs="Times New Roman"/>
                <w:sz w:val="18"/>
                <w:szCs w:val="18"/>
              </w:rPr>
            </w:pPr>
            <w:r w:rsidRPr="00D325AF">
              <w:rPr>
                <w:rFonts w:cs="Times New Roman"/>
                <w:sz w:val="18"/>
                <w:szCs w:val="18"/>
              </w:rPr>
              <w:t>0.923 (0.382, 2.233)</w:t>
            </w:r>
          </w:p>
        </w:tc>
        <w:tc>
          <w:tcPr>
            <w:tcW w:w="1020" w:type="dxa"/>
            <w:noWrap/>
            <w:hideMark/>
          </w:tcPr>
          <w:p w14:paraId="1A96EAA2" w14:textId="77777777" w:rsidR="003C2A40" w:rsidRPr="00D325AF" w:rsidRDefault="003C2A40" w:rsidP="00D325AF">
            <w:pPr>
              <w:spacing w:line="240" w:lineRule="auto"/>
              <w:rPr>
                <w:rFonts w:cs="Times New Roman"/>
                <w:sz w:val="18"/>
                <w:szCs w:val="18"/>
              </w:rPr>
            </w:pPr>
            <w:r w:rsidRPr="00D325AF">
              <w:rPr>
                <w:rFonts w:cs="Times New Roman"/>
                <w:sz w:val="18"/>
                <w:szCs w:val="18"/>
              </w:rPr>
              <w:t>0.859</w:t>
            </w:r>
          </w:p>
        </w:tc>
        <w:tc>
          <w:tcPr>
            <w:tcW w:w="1814" w:type="dxa"/>
            <w:noWrap/>
            <w:hideMark/>
          </w:tcPr>
          <w:p w14:paraId="2AB3FD61" w14:textId="77777777" w:rsidR="003C2A40" w:rsidRPr="00D325AF" w:rsidRDefault="003C2A40" w:rsidP="00D325AF">
            <w:pPr>
              <w:spacing w:line="240" w:lineRule="auto"/>
              <w:rPr>
                <w:rFonts w:cs="Times New Roman"/>
                <w:sz w:val="18"/>
                <w:szCs w:val="18"/>
              </w:rPr>
            </w:pPr>
          </w:p>
        </w:tc>
        <w:tc>
          <w:tcPr>
            <w:tcW w:w="1020" w:type="dxa"/>
            <w:noWrap/>
            <w:hideMark/>
          </w:tcPr>
          <w:p w14:paraId="560C3260" w14:textId="77777777" w:rsidR="003C2A40" w:rsidRPr="00D325AF" w:rsidRDefault="003C2A40" w:rsidP="00D325AF">
            <w:pPr>
              <w:spacing w:line="240" w:lineRule="auto"/>
              <w:rPr>
                <w:rFonts w:cs="Times New Roman"/>
                <w:sz w:val="18"/>
                <w:szCs w:val="18"/>
              </w:rPr>
            </w:pPr>
          </w:p>
        </w:tc>
        <w:tc>
          <w:tcPr>
            <w:tcW w:w="1814" w:type="dxa"/>
            <w:noWrap/>
            <w:hideMark/>
          </w:tcPr>
          <w:p w14:paraId="2CF5794C" w14:textId="5A9194DD" w:rsidR="003C2A40" w:rsidRPr="00D325AF" w:rsidRDefault="003C2A40" w:rsidP="00D325AF">
            <w:pPr>
              <w:spacing w:line="240" w:lineRule="auto"/>
              <w:rPr>
                <w:rFonts w:cs="Times New Roman"/>
                <w:sz w:val="18"/>
                <w:szCs w:val="18"/>
              </w:rPr>
            </w:pPr>
            <w:r w:rsidRPr="00D325AF">
              <w:rPr>
                <w:rFonts w:cs="Times New Roman"/>
                <w:sz w:val="18"/>
                <w:szCs w:val="18"/>
              </w:rPr>
              <w:t>0.832 (0.409, 1.695)</w:t>
            </w:r>
          </w:p>
        </w:tc>
        <w:tc>
          <w:tcPr>
            <w:tcW w:w="1020" w:type="dxa"/>
            <w:noWrap/>
            <w:hideMark/>
          </w:tcPr>
          <w:p w14:paraId="603B2C14" w14:textId="77777777" w:rsidR="003C2A40" w:rsidRPr="00D325AF" w:rsidRDefault="003C2A40" w:rsidP="00D325AF">
            <w:pPr>
              <w:spacing w:line="240" w:lineRule="auto"/>
              <w:rPr>
                <w:rFonts w:cs="Times New Roman"/>
                <w:sz w:val="18"/>
                <w:szCs w:val="18"/>
              </w:rPr>
            </w:pPr>
            <w:r w:rsidRPr="00D325AF">
              <w:rPr>
                <w:rFonts w:cs="Times New Roman"/>
                <w:sz w:val="18"/>
                <w:szCs w:val="18"/>
              </w:rPr>
              <w:t>0.613</w:t>
            </w:r>
          </w:p>
        </w:tc>
        <w:tc>
          <w:tcPr>
            <w:tcW w:w="1814" w:type="dxa"/>
            <w:noWrap/>
            <w:hideMark/>
          </w:tcPr>
          <w:p w14:paraId="5916E271" w14:textId="77777777" w:rsidR="003C2A40" w:rsidRPr="00D325AF" w:rsidRDefault="003C2A40" w:rsidP="00D325AF">
            <w:pPr>
              <w:spacing w:line="240" w:lineRule="auto"/>
              <w:rPr>
                <w:rFonts w:cs="Times New Roman"/>
                <w:sz w:val="18"/>
                <w:szCs w:val="18"/>
              </w:rPr>
            </w:pPr>
          </w:p>
        </w:tc>
        <w:tc>
          <w:tcPr>
            <w:tcW w:w="1020" w:type="dxa"/>
            <w:noWrap/>
            <w:hideMark/>
          </w:tcPr>
          <w:p w14:paraId="5DF9E775" w14:textId="77777777" w:rsidR="003C2A40" w:rsidRPr="00D325AF" w:rsidRDefault="003C2A40" w:rsidP="00D325AF">
            <w:pPr>
              <w:spacing w:line="240" w:lineRule="auto"/>
              <w:rPr>
                <w:rFonts w:cs="Times New Roman"/>
                <w:sz w:val="18"/>
                <w:szCs w:val="18"/>
              </w:rPr>
            </w:pPr>
          </w:p>
        </w:tc>
      </w:tr>
      <w:tr w:rsidR="003C2A40" w:rsidRPr="00D325AF" w14:paraId="3D94EAA8" w14:textId="77777777" w:rsidTr="00106C69">
        <w:trPr>
          <w:trHeight w:val="346"/>
        </w:trPr>
        <w:tc>
          <w:tcPr>
            <w:tcW w:w="3119" w:type="dxa"/>
            <w:noWrap/>
            <w:hideMark/>
          </w:tcPr>
          <w:p w14:paraId="1E6D4139" w14:textId="77777777" w:rsidR="003C2A40" w:rsidRPr="00D325AF" w:rsidRDefault="003C2A40" w:rsidP="00D325AF">
            <w:pPr>
              <w:spacing w:line="240" w:lineRule="auto"/>
              <w:rPr>
                <w:rFonts w:cs="Times New Roman"/>
                <w:sz w:val="18"/>
                <w:szCs w:val="18"/>
              </w:rPr>
            </w:pPr>
            <w:r w:rsidRPr="00D325AF">
              <w:rPr>
                <w:rFonts w:cs="Times New Roman"/>
                <w:sz w:val="18"/>
                <w:szCs w:val="18"/>
              </w:rPr>
              <w:t>Differentiation (high, moderate vs. low)</w:t>
            </w:r>
          </w:p>
        </w:tc>
        <w:tc>
          <w:tcPr>
            <w:tcW w:w="1814" w:type="dxa"/>
            <w:noWrap/>
            <w:hideMark/>
          </w:tcPr>
          <w:p w14:paraId="606BE66C" w14:textId="3816CB60" w:rsidR="003C2A40" w:rsidRPr="00D325AF" w:rsidRDefault="003C2A40" w:rsidP="00D325AF">
            <w:pPr>
              <w:spacing w:line="240" w:lineRule="auto"/>
              <w:rPr>
                <w:rFonts w:cs="Times New Roman"/>
                <w:sz w:val="18"/>
                <w:szCs w:val="18"/>
              </w:rPr>
            </w:pPr>
            <w:r w:rsidRPr="00D325AF">
              <w:rPr>
                <w:rFonts w:cs="Times New Roman"/>
                <w:sz w:val="18"/>
                <w:szCs w:val="18"/>
              </w:rPr>
              <w:t>0.855 (0.387, 1.889)</w:t>
            </w:r>
          </w:p>
        </w:tc>
        <w:tc>
          <w:tcPr>
            <w:tcW w:w="1020" w:type="dxa"/>
            <w:noWrap/>
            <w:hideMark/>
          </w:tcPr>
          <w:p w14:paraId="26739859" w14:textId="77777777" w:rsidR="003C2A40" w:rsidRPr="00D325AF" w:rsidRDefault="003C2A40" w:rsidP="00D325AF">
            <w:pPr>
              <w:spacing w:line="240" w:lineRule="auto"/>
              <w:rPr>
                <w:rFonts w:cs="Times New Roman"/>
                <w:sz w:val="18"/>
                <w:szCs w:val="18"/>
              </w:rPr>
            </w:pPr>
            <w:r w:rsidRPr="00D325AF">
              <w:rPr>
                <w:rFonts w:cs="Times New Roman"/>
                <w:sz w:val="18"/>
                <w:szCs w:val="18"/>
              </w:rPr>
              <w:t>0.698</w:t>
            </w:r>
          </w:p>
        </w:tc>
        <w:tc>
          <w:tcPr>
            <w:tcW w:w="1814" w:type="dxa"/>
            <w:noWrap/>
            <w:hideMark/>
          </w:tcPr>
          <w:p w14:paraId="3BA86360" w14:textId="77777777" w:rsidR="003C2A40" w:rsidRPr="00D325AF" w:rsidRDefault="003C2A40" w:rsidP="00D325AF">
            <w:pPr>
              <w:spacing w:line="240" w:lineRule="auto"/>
              <w:rPr>
                <w:rFonts w:cs="Times New Roman"/>
                <w:sz w:val="18"/>
                <w:szCs w:val="18"/>
              </w:rPr>
            </w:pPr>
          </w:p>
        </w:tc>
        <w:tc>
          <w:tcPr>
            <w:tcW w:w="1020" w:type="dxa"/>
            <w:noWrap/>
            <w:hideMark/>
          </w:tcPr>
          <w:p w14:paraId="45F939EF" w14:textId="77777777" w:rsidR="003C2A40" w:rsidRPr="00D325AF" w:rsidRDefault="003C2A40" w:rsidP="00D325AF">
            <w:pPr>
              <w:spacing w:line="240" w:lineRule="auto"/>
              <w:rPr>
                <w:rFonts w:cs="Times New Roman"/>
                <w:sz w:val="18"/>
                <w:szCs w:val="18"/>
              </w:rPr>
            </w:pPr>
          </w:p>
        </w:tc>
        <w:tc>
          <w:tcPr>
            <w:tcW w:w="1814" w:type="dxa"/>
            <w:noWrap/>
            <w:hideMark/>
          </w:tcPr>
          <w:p w14:paraId="05305A6C" w14:textId="1E08BDED" w:rsidR="003C2A40" w:rsidRPr="00D325AF" w:rsidRDefault="003C2A40" w:rsidP="00D325AF">
            <w:pPr>
              <w:spacing w:line="240" w:lineRule="auto"/>
              <w:rPr>
                <w:rFonts w:cs="Times New Roman"/>
                <w:sz w:val="18"/>
                <w:szCs w:val="18"/>
              </w:rPr>
            </w:pPr>
            <w:r w:rsidRPr="00D325AF">
              <w:rPr>
                <w:rFonts w:cs="Times New Roman"/>
                <w:sz w:val="18"/>
                <w:szCs w:val="18"/>
              </w:rPr>
              <w:t>0.939 (0.508, 1.737)</w:t>
            </w:r>
          </w:p>
        </w:tc>
        <w:tc>
          <w:tcPr>
            <w:tcW w:w="1020" w:type="dxa"/>
            <w:noWrap/>
            <w:hideMark/>
          </w:tcPr>
          <w:p w14:paraId="2B09977C" w14:textId="77777777" w:rsidR="003C2A40" w:rsidRPr="00D325AF" w:rsidRDefault="003C2A40" w:rsidP="00D325AF">
            <w:pPr>
              <w:spacing w:line="240" w:lineRule="auto"/>
              <w:rPr>
                <w:rFonts w:cs="Times New Roman"/>
                <w:sz w:val="18"/>
                <w:szCs w:val="18"/>
              </w:rPr>
            </w:pPr>
            <w:r w:rsidRPr="00D325AF">
              <w:rPr>
                <w:rFonts w:cs="Times New Roman"/>
                <w:sz w:val="18"/>
                <w:szCs w:val="18"/>
              </w:rPr>
              <w:t>0.842</w:t>
            </w:r>
          </w:p>
        </w:tc>
        <w:tc>
          <w:tcPr>
            <w:tcW w:w="1814" w:type="dxa"/>
            <w:noWrap/>
            <w:hideMark/>
          </w:tcPr>
          <w:p w14:paraId="2A053701" w14:textId="77777777" w:rsidR="003C2A40" w:rsidRPr="00D325AF" w:rsidRDefault="003C2A40" w:rsidP="00D325AF">
            <w:pPr>
              <w:spacing w:line="240" w:lineRule="auto"/>
              <w:rPr>
                <w:rFonts w:cs="Times New Roman"/>
                <w:sz w:val="18"/>
                <w:szCs w:val="18"/>
              </w:rPr>
            </w:pPr>
          </w:p>
        </w:tc>
        <w:tc>
          <w:tcPr>
            <w:tcW w:w="1020" w:type="dxa"/>
            <w:noWrap/>
            <w:hideMark/>
          </w:tcPr>
          <w:p w14:paraId="251BFBBB" w14:textId="77777777" w:rsidR="003C2A40" w:rsidRPr="00D325AF" w:rsidRDefault="003C2A40" w:rsidP="00D325AF">
            <w:pPr>
              <w:spacing w:line="240" w:lineRule="auto"/>
              <w:rPr>
                <w:rFonts w:cs="Times New Roman"/>
                <w:sz w:val="18"/>
                <w:szCs w:val="18"/>
              </w:rPr>
            </w:pPr>
          </w:p>
        </w:tc>
      </w:tr>
      <w:tr w:rsidR="003C2A40" w:rsidRPr="00D325AF" w14:paraId="12D83766" w14:textId="77777777" w:rsidTr="00106C69">
        <w:trPr>
          <w:trHeight w:val="346"/>
        </w:trPr>
        <w:tc>
          <w:tcPr>
            <w:tcW w:w="3119" w:type="dxa"/>
            <w:noWrap/>
            <w:hideMark/>
          </w:tcPr>
          <w:p w14:paraId="14FB11F1" w14:textId="77777777" w:rsidR="003C2A40" w:rsidRPr="00D325AF" w:rsidRDefault="003C2A40" w:rsidP="00D325AF">
            <w:pPr>
              <w:spacing w:line="240" w:lineRule="auto"/>
              <w:rPr>
                <w:rFonts w:cs="Times New Roman"/>
                <w:sz w:val="18"/>
                <w:szCs w:val="18"/>
              </w:rPr>
            </w:pPr>
            <w:r w:rsidRPr="00D325AF">
              <w:rPr>
                <w:rFonts w:cs="Times New Roman"/>
                <w:sz w:val="18"/>
                <w:szCs w:val="18"/>
              </w:rPr>
              <w:t>Stage (Ⅲ, Ⅳ vs. Ⅰ, Ⅱ)</w:t>
            </w:r>
          </w:p>
        </w:tc>
        <w:tc>
          <w:tcPr>
            <w:tcW w:w="1814" w:type="dxa"/>
            <w:noWrap/>
            <w:hideMark/>
          </w:tcPr>
          <w:p w14:paraId="7EEBF508" w14:textId="7B035D2E" w:rsidR="003C2A40" w:rsidRPr="00D325AF" w:rsidRDefault="003C2A40" w:rsidP="00D325AF">
            <w:pPr>
              <w:spacing w:line="240" w:lineRule="auto"/>
              <w:rPr>
                <w:rFonts w:cs="Times New Roman"/>
                <w:sz w:val="18"/>
                <w:szCs w:val="18"/>
              </w:rPr>
            </w:pPr>
            <w:r w:rsidRPr="00D325AF">
              <w:rPr>
                <w:rFonts w:cs="Times New Roman"/>
                <w:sz w:val="18"/>
                <w:szCs w:val="18"/>
              </w:rPr>
              <w:t>6.559 (2.849, 15.102)</w:t>
            </w:r>
          </w:p>
        </w:tc>
        <w:tc>
          <w:tcPr>
            <w:tcW w:w="1020" w:type="dxa"/>
            <w:noWrap/>
            <w:hideMark/>
          </w:tcPr>
          <w:p w14:paraId="3D2433BC" w14:textId="10D462C6" w:rsidR="003C2A40" w:rsidRPr="00D325AF" w:rsidRDefault="003C2A40" w:rsidP="00D325AF">
            <w:pPr>
              <w:spacing w:line="240" w:lineRule="auto"/>
              <w:rPr>
                <w:rFonts w:cs="Times New Roman"/>
                <w:b/>
                <w:bCs/>
                <w:sz w:val="18"/>
                <w:szCs w:val="18"/>
              </w:rPr>
            </w:pPr>
            <w:r w:rsidRPr="00D325AF">
              <w:rPr>
                <w:rFonts w:cs="Times New Roman"/>
                <w:b/>
                <w:bCs/>
                <w:sz w:val="18"/>
                <w:szCs w:val="18"/>
              </w:rPr>
              <w:t>&lt;</w:t>
            </w:r>
            <w:r w:rsidR="00D325AF">
              <w:rPr>
                <w:rFonts w:cs="Times New Roman"/>
                <w:b/>
                <w:bCs/>
                <w:sz w:val="18"/>
                <w:szCs w:val="18"/>
              </w:rPr>
              <w:t xml:space="preserve"> </w:t>
            </w:r>
            <w:r w:rsidRPr="00D325AF">
              <w:rPr>
                <w:rFonts w:cs="Times New Roman"/>
                <w:b/>
                <w:bCs/>
                <w:sz w:val="18"/>
                <w:szCs w:val="18"/>
              </w:rPr>
              <w:t>0.001</w:t>
            </w:r>
            <w:r w:rsidRPr="00D325AF">
              <w:rPr>
                <w:rFonts w:eastAsiaTheme="minorEastAsia" w:cs="Times New Roman"/>
                <w:b/>
                <w:bCs/>
                <w:sz w:val="18"/>
                <w:szCs w:val="18"/>
              </w:rPr>
              <w:t>**</w:t>
            </w:r>
          </w:p>
        </w:tc>
        <w:tc>
          <w:tcPr>
            <w:tcW w:w="1814" w:type="dxa"/>
            <w:noWrap/>
            <w:hideMark/>
          </w:tcPr>
          <w:p w14:paraId="30E188A4" w14:textId="2E86A8CF" w:rsidR="003C2A40" w:rsidRPr="00D325AF" w:rsidRDefault="003C2A40" w:rsidP="00D325AF">
            <w:pPr>
              <w:spacing w:line="240" w:lineRule="auto"/>
              <w:rPr>
                <w:rFonts w:cs="Times New Roman"/>
                <w:sz w:val="18"/>
                <w:szCs w:val="18"/>
              </w:rPr>
            </w:pPr>
            <w:r w:rsidRPr="00D325AF">
              <w:rPr>
                <w:rFonts w:cs="Times New Roman"/>
                <w:sz w:val="18"/>
                <w:szCs w:val="18"/>
              </w:rPr>
              <w:t>4.022 (1.648, 9.814)</w:t>
            </w:r>
          </w:p>
        </w:tc>
        <w:tc>
          <w:tcPr>
            <w:tcW w:w="1020" w:type="dxa"/>
            <w:noWrap/>
            <w:hideMark/>
          </w:tcPr>
          <w:p w14:paraId="5743D125" w14:textId="55CC7418" w:rsidR="003C2A40" w:rsidRPr="00D325AF" w:rsidRDefault="003C2A40" w:rsidP="00D325AF">
            <w:pPr>
              <w:spacing w:line="240" w:lineRule="auto"/>
              <w:rPr>
                <w:rFonts w:cs="Times New Roman"/>
                <w:b/>
                <w:bCs/>
                <w:sz w:val="18"/>
                <w:szCs w:val="18"/>
              </w:rPr>
            </w:pPr>
            <w:r w:rsidRPr="00D325AF">
              <w:rPr>
                <w:rFonts w:cs="Times New Roman"/>
                <w:b/>
                <w:bCs/>
                <w:sz w:val="18"/>
                <w:szCs w:val="18"/>
              </w:rPr>
              <w:t>0.002</w:t>
            </w:r>
            <w:r w:rsidRPr="00D325AF">
              <w:rPr>
                <w:rFonts w:eastAsiaTheme="minorEastAsia" w:cs="Times New Roman"/>
                <w:b/>
                <w:bCs/>
                <w:sz w:val="18"/>
                <w:szCs w:val="18"/>
              </w:rPr>
              <w:t>**</w:t>
            </w:r>
          </w:p>
        </w:tc>
        <w:tc>
          <w:tcPr>
            <w:tcW w:w="1814" w:type="dxa"/>
            <w:noWrap/>
            <w:hideMark/>
          </w:tcPr>
          <w:p w14:paraId="5FBB62EA" w14:textId="506AE631" w:rsidR="003C2A40" w:rsidRPr="00D325AF" w:rsidRDefault="003C2A40" w:rsidP="00D325AF">
            <w:pPr>
              <w:spacing w:line="240" w:lineRule="auto"/>
              <w:rPr>
                <w:rFonts w:cs="Times New Roman"/>
                <w:sz w:val="18"/>
                <w:szCs w:val="18"/>
              </w:rPr>
            </w:pPr>
            <w:r w:rsidRPr="00D325AF">
              <w:rPr>
                <w:rFonts w:cs="Times New Roman"/>
                <w:sz w:val="18"/>
                <w:szCs w:val="18"/>
              </w:rPr>
              <w:t>3.021 (1.799, 5.073)</w:t>
            </w:r>
          </w:p>
        </w:tc>
        <w:tc>
          <w:tcPr>
            <w:tcW w:w="1020" w:type="dxa"/>
            <w:noWrap/>
            <w:hideMark/>
          </w:tcPr>
          <w:p w14:paraId="32CE891E" w14:textId="19E5AEF4" w:rsidR="003C2A40" w:rsidRPr="00D325AF" w:rsidRDefault="003C2A40" w:rsidP="00D325AF">
            <w:pPr>
              <w:spacing w:line="240" w:lineRule="auto"/>
              <w:rPr>
                <w:rFonts w:cs="Times New Roman"/>
                <w:b/>
                <w:bCs/>
                <w:sz w:val="18"/>
                <w:szCs w:val="18"/>
              </w:rPr>
            </w:pPr>
            <w:r w:rsidRPr="00D325AF">
              <w:rPr>
                <w:rFonts w:cs="Times New Roman"/>
                <w:b/>
                <w:bCs/>
                <w:sz w:val="18"/>
                <w:szCs w:val="18"/>
              </w:rPr>
              <w:t>&lt;</w:t>
            </w:r>
            <w:r w:rsidR="00D325AF" w:rsidRPr="00D325AF">
              <w:rPr>
                <w:rFonts w:cs="Times New Roman"/>
                <w:b/>
                <w:bCs/>
                <w:sz w:val="18"/>
                <w:szCs w:val="18"/>
              </w:rPr>
              <w:t xml:space="preserve"> </w:t>
            </w:r>
            <w:r w:rsidRPr="00D325AF">
              <w:rPr>
                <w:rFonts w:cs="Times New Roman"/>
                <w:b/>
                <w:bCs/>
                <w:sz w:val="18"/>
                <w:szCs w:val="18"/>
              </w:rPr>
              <w:t>0.001</w:t>
            </w:r>
            <w:r w:rsidRPr="00D325AF">
              <w:rPr>
                <w:rFonts w:eastAsiaTheme="minorEastAsia" w:cs="Times New Roman"/>
                <w:b/>
                <w:bCs/>
                <w:sz w:val="18"/>
                <w:szCs w:val="18"/>
              </w:rPr>
              <w:t>**</w:t>
            </w:r>
          </w:p>
        </w:tc>
        <w:tc>
          <w:tcPr>
            <w:tcW w:w="1814" w:type="dxa"/>
            <w:noWrap/>
            <w:hideMark/>
          </w:tcPr>
          <w:p w14:paraId="386F2322" w14:textId="786CAFE8" w:rsidR="003C2A40" w:rsidRPr="00D325AF" w:rsidRDefault="003C2A40" w:rsidP="00D325AF">
            <w:pPr>
              <w:spacing w:line="240" w:lineRule="auto"/>
              <w:rPr>
                <w:rFonts w:cs="Times New Roman"/>
                <w:sz w:val="18"/>
                <w:szCs w:val="18"/>
              </w:rPr>
            </w:pPr>
            <w:r w:rsidRPr="00D325AF">
              <w:rPr>
                <w:rFonts w:cs="Times New Roman"/>
                <w:sz w:val="18"/>
                <w:szCs w:val="18"/>
              </w:rPr>
              <w:t>2.297 (</w:t>
            </w:r>
            <w:r w:rsidR="00AE50AC" w:rsidRPr="00D325AF">
              <w:rPr>
                <w:rFonts w:cs="Times New Roman"/>
                <w:sz w:val="18"/>
                <w:szCs w:val="18"/>
              </w:rPr>
              <w:t>1.326, 3.981</w:t>
            </w:r>
            <w:r w:rsidRPr="00D325AF">
              <w:rPr>
                <w:rFonts w:cs="Times New Roman"/>
                <w:sz w:val="18"/>
                <w:szCs w:val="18"/>
              </w:rPr>
              <w:t>)</w:t>
            </w:r>
          </w:p>
        </w:tc>
        <w:tc>
          <w:tcPr>
            <w:tcW w:w="1020" w:type="dxa"/>
            <w:noWrap/>
            <w:hideMark/>
          </w:tcPr>
          <w:p w14:paraId="1AA3A406" w14:textId="7BFDB0A6" w:rsidR="003C2A40" w:rsidRPr="00D325AF" w:rsidRDefault="003C2A40" w:rsidP="00D325AF">
            <w:pPr>
              <w:spacing w:line="240" w:lineRule="auto"/>
              <w:rPr>
                <w:rFonts w:cs="Times New Roman"/>
                <w:b/>
                <w:bCs/>
                <w:sz w:val="18"/>
                <w:szCs w:val="18"/>
              </w:rPr>
            </w:pPr>
            <w:r w:rsidRPr="00D325AF">
              <w:rPr>
                <w:rFonts w:cs="Times New Roman"/>
                <w:b/>
                <w:bCs/>
                <w:sz w:val="18"/>
                <w:szCs w:val="18"/>
              </w:rPr>
              <w:t>0.003</w:t>
            </w:r>
            <w:r w:rsidRPr="00D325AF">
              <w:rPr>
                <w:rFonts w:eastAsiaTheme="minorEastAsia" w:cs="Times New Roman"/>
                <w:b/>
                <w:bCs/>
                <w:sz w:val="18"/>
                <w:szCs w:val="18"/>
              </w:rPr>
              <w:t>**</w:t>
            </w:r>
          </w:p>
        </w:tc>
      </w:tr>
      <w:tr w:rsidR="003C2A40" w:rsidRPr="00D325AF" w14:paraId="667A8F69" w14:textId="77777777" w:rsidTr="00106C69">
        <w:trPr>
          <w:trHeight w:val="346"/>
        </w:trPr>
        <w:tc>
          <w:tcPr>
            <w:tcW w:w="3119" w:type="dxa"/>
            <w:noWrap/>
            <w:hideMark/>
          </w:tcPr>
          <w:p w14:paraId="0BD206E5" w14:textId="48F37E4C" w:rsidR="003C2A40" w:rsidRPr="00D325AF" w:rsidRDefault="003C2A40" w:rsidP="00D325AF">
            <w:pPr>
              <w:spacing w:line="240" w:lineRule="auto"/>
              <w:rPr>
                <w:rFonts w:cs="Times New Roman"/>
                <w:sz w:val="18"/>
                <w:szCs w:val="18"/>
              </w:rPr>
            </w:pPr>
            <w:r w:rsidRPr="00D325AF">
              <w:rPr>
                <w:rFonts w:cs="Times New Roman"/>
                <w:sz w:val="18"/>
                <w:szCs w:val="18"/>
              </w:rPr>
              <w:t>NAC</w:t>
            </w:r>
            <w:r w:rsidRPr="00D325AF">
              <w:rPr>
                <w:rFonts w:cs="Times New Roman"/>
                <w:sz w:val="18"/>
                <w:szCs w:val="18"/>
                <w:vertAlign w:val="superscript"/>
              </w:rPr>
              <w:t>¶</w:t>
            </w:r>
            <w:r w:rsidRPr="00D325AF">
              <w:rPr>
                <w:rFonts w:cs="Times New Roman"/>
                <w:sz w:val="18"/>
                <w:szCs w:val="18"/>
              </w:rPr>
              <w:t xml:space="preserve"> (yes vs. no)</w:t>
            </w:r>
          </w:p>
        </w:tc>
        <w:tc>
          <w:tcPr>
            <w:tcW w:w="1814" w:type="dxa"/>
            <w:noWrap/>
            <w:hideMark/>
          </w:tcPr>
          <w:p w14:paraId="135F3392" w14:textId="5E1F1BAB" w:rsidR="003C2A40" w:rsidRPr="00D325AF" w:rsidRDefault="003C2A40" w:rsidP="00D325AF">
            <w:pPr>
              <w:spacing w:line="240" w:lineRule="auto"/>
              <w:rPr>
                <w:rFonts w:cs="Times New Roman"/>
                <w:sz w:val="18"/>
                <w:szCs w:val="18"/>
              </w:rPr>
            </w:pPr>
            <w:r w:rsidRPr="00D325AF">
              <w:rPr>
                <w:rFonts w:cs="Times New Roman"/>
                <w:sz w:val="18"/>
                <w:szCs w:val="18"/>
              </w:rPr>
              <w:t>1.591 (0.775, 3.268)</w:t>
            </w:r>
          </w:p>
        </w:tc>
        <w:tc>
          <w:tcPr>
            <w:tcW w:w="1020" w:type="dxa"/>
            <w:noWrap/>
            <w:hideMark/>
          </w:tcPr>
          <w:p w14:paraId="464A1A3E" w14:textId="77777777" w:rsidR="003C2A40" w:rsidRPr="00D325AF" w:rsidRDefault="003C2A40" w:rsidP="00D325AF">
            <w:pPr>
              <w:spacing w:line="240" w:lineRule="auto"/>
              <w:rPr>
                <w:rFonts w:cs="Times New Roman"/>
                <w:sz w:val="18"/>
                <w:szCs w:val="18"/>
              </w:rPr>
            </w:pPr>
            <w:r w:rsidRPr="00D325AF">
              <w:rPr>
                <w:rFonts w:cs="Times New Roman"/>
                <w:sz w:val="18"/>
                <w:szCs w:val="18"/>
              </w:rPr>
              <w:t>0.206</w:t>
            </w:r>
          </w:p>
        </w:tc>
        <w:tc>
          <w:tcPr>
            <w:tcW w:w="1814" w:type="dxa"/>
            <w:noWrap/>
            <w:hideMark/>
          </w:tcPr>
          <w:p w14:paraId="23DD8AD3" w14:textId="77777777" w:rsidR="003C2A40" w:rsidRPr="00D325AF" w:rsidRDefault="003C2A40" w:rsidP="00D325AF">
            <w:pPr>
              <w:spacing w:line="240" w:lineRule="auto"/>
              <w:rPr>
                <w:rFonts w:cs="Times New Roman"/>
                <w:sz w:val="18"/>
                <w:szCs w:val="18"/>
              </w:rPr>
            </w:pPr>
          </w:p>
        </w:tc>
        <w:tc>
          <w:tcPr>
            <w:tcW w:w="1020" w:type="dxa"/>
            <w:noWrap/>
            <w:hideMark/>
          </w:tcPr>
          <w:p w14:paraId="05239361" w14:textId="77777777" w:rsidR="003C2A40" w:rsidRPr="00D325AF" w:rsidRDefault="003C2A40" w:rsidP="00D325AF">
            <w:pPr>
              <w:spacing w:line="240" w:lineRule="auto"/>
              <w:rPr>
                <w:rFonts w:cs="Times New Roman"/>
                <w:sz w:val="18"/>
                <w:szCs w:val="18"/>
              </w:rPr>
            </w:pPr>
          </w:p>
        </w:tc>
        <w:tc>
          <w:tcPr>
            <w:tcW w:w="1814" w:type="dxa"/>
            <w:noWrap/>
            <w:hideMark/>
          </w:tcPr>
          <w:p w14:paraId="40D991BB" w14:textId="300DCF60" w:rsidR="003C2A40" w:rsidRPr="00D325AF" w:rsidRDefault="003C2A40" w:rsidP="00D325AF">
            <w:pPr>
              <w:spacing w:line="240" w:lineRule="auto"/>
              <w:rPr>
                <w:rFonts w:cs="Times New Roman"/>
                <w:sz w:val="18"/>
                <w:szCs w:val="18"/>
              </w:rPr>
            </w:pPr>
            <w:r w:rsidRPr="00D325AF">
              <w:rPr>
                <w:rFonts w:cs="Times New Roman"/>
                <w:sz w:val="18"/>
                <w:szCs w:val="18"/>
              </w:rPr>
              <w:t>1.095 (0.617, 1.942)</w:t>
            </w:r>
          </w:p>
        </w:tc>
        <w:tc>
          <w:tcPr>
            <w:tcW w:w="1020" w:type="dxa"/>
            <w:noWrap/>
            <w:hideMark/>
          </w:tcPr>
          <w:p w14:paraId="75B89430" w14:textId="77777777" w:rsidR="003C2A40" w:rsidRPr="00D325AF" w:rsidRDefault="003C2A40" w:rsidP="00D325AF">
            <w:pPr>
              <w:spacing w:line="240" w:lineRule="auto"/>
              <w:rPr>
                <w:rFonts w:cs="Times New Roman"/>
                <w:sz w:val="18"/>
                <w:szCs w:val="18"/>
              </w:rPr>
            </w:pPr>
            <w:r w:rsidRPr="00D325AF">
              <w:rPr>
                <w:rFonts w:cs="Times New Roman"/>
                <w:sz w:val="18"/>
                <w:szCs w:val="18"/>
              </w:rPr>
              <w:t>0.757</w:t>
            </w:r>
          </w:p>
        </w:tc>
        <w:tc>
          <w:tcPr>
            <w:tcW w:w="1814" w:type="dxa"/>
            <w:noWrap/>
            <w:hideMark/>
          </w:tcPr>
          <w:p w14:paraId="4519ECCC" w14:textId="77777777" w:rsidR="003C2A40" w:rsidRPr="00D325AF" w:rsidRDefault="003C2A40" w:rsidP="00D325AF">
            <w:pPr>
              <w:spacing w:line="240" w:lineRule="auto"/>
              <w:rPr>
                <w:rFonts w:cs="Times New Roman"/>
                <w:sz w:val="18"/>
                <w:szCs w:val="18"/>
              </w:rPr>
            </w:pPr>
          </w:p>
        </w:tc>
        <w:tc>
          <w:tcPr>
            <w:tcW w:w="1020" w:type="dxa"/>
            <w:noWrap/>
            <w:hideMark/>
          </w:tcPr>
          <w:p w14:paraId="0E9E3597" w14:textId="77777777" w:rsidR="003C2A40" w:rsidRPr="00D325AF" w:rsidRDefault="003C2A40" w:rsidP="00D325AF">
            <w:pPr>
              <w:spacing w:line="240" w:lineRule="auto"/>
              <w:rPr>
                <w:rFonts w:cs="Times New Roman"/>
                <w:sz w:val="18"/>
                <w:szCs w:val="18"/>
              </w:rPr>
            </w:pPr>
          </w:p>
        </w:tc>
      </w:tr>
      <w:tr w:rsidR="003C2A40" w:rsidRPr="00D325AF" w14:paraId="1BE262A0" w14:textId="77777777" w:rsidTr="00106C69">
        <w:trPr>
          <w:trHeight w:val="346"/>
        </w:trPr>
        <w:tc>
          <w:tcPr>
            <w:tcW w:w="3119" w:type="dxa"/>
            <w:noWrap/>
            <w:hideMark/>
          </w:tcPr>
          <w:p w14:paraId="06DC99C5" w14:textId="2DBA863C" w:rsidR="003C2A40" w:rsidRPr="00D325AF" w:rsidRDefault="003C2A40" w:rsidP="00D325AF">
            <w:pPr>
              <w:spacing w:line="240" w:lineRule="auto"/>
              <w:rPr>
                <w:rFonts w:cs="Times New Roman"/>
                <w:sz w:val="18"/>
                <w:szCs w:val="18"/>
              </w:rPr>
            </w:pPr>
            <w:r w:rsidRPr="00D325AF">
              <w:rPr>
                <w:rFonts w:cs="Times New Roman"/>
                <w:sz w:val="18"/>
                <w:szCs w:val="18"/>
              </w:rPr>
              <w:t>T-CEA (high vs. low expression)</w:t>
            </w:r>
          </w:p>
        </w:tc>
        <w:tc>
          <w:tcPr>
            <w:tcW w:w="1814" w:type="dxa"/>
            <w:noWrap/>
            <w:hideMark/>
          </w:tcPr>
          <w:p w14:paraId="5803E040" w14:textId="55F8EF5D" w:rsidR="003C2A40" w:rsidRPr="00D325AF" w:rsidRDefault="003C2A40" w:rsidP="00D325AF">
            <w:pPr>
              <w:spacing w:line="240" w:lineRule="auto"/>
              <w:rPr>
                <w:rFonts w:cs="Times New Roman"/>
                <w:sz w:val="18"/>
                <w:szCs w:val="18"/>
              </w:rPr>
            </w:pPr>
            <w:r w:rsidRPr="00D325AF">
              <w:rPr>
                <w:rFonts w:cs="Times New Roman"/>
                <w:sz w:val="18"/>
                <w:szCs w:val="18"/>
              </w:rPr>
              <w:t>3.258 (1.626, 7.659)</w:t>
            </w:r>
          </w:p>
        </w:tc>
        <w:tc>
          <w:tcPr>
            <w:tcW w:w="1020" w:type="dxa"/>
            <w:noWrap/>
            <w:hideMark/>
          </w:tcPr>
          <w:p w14:paraId="27BECE3E" w14:textId="3F68D8A2" w:rsidR="003C2A40" w:rsidRPr="00D325AF" w:rsidRDefault="003C2A40" w:rsidP="00D325AF">
            <w:pPr>
              <w:spacing w:line="240" w:lineRule="auto"/>
              <w:rPr>
                <w:rFonts w:cs="Times New Roman"/>
                <w:b/>
                <w:bCs/>
                <w:sz w:val="18"/>
                <w:szCs w:val="18"/>
              </w:rPr>
            </w:pPr>
            <w:r w:rsidRPr="00D325AF">
              <w:rPr>
                <w:rFonts w:cs="Times New Roman"/>
                <w:b/>
                <w:bCs/>
                <w:sz w:val="18"/>
                <w:szCs w:val="18"/>
              </w:rPr>
              <w:t>0.001</w:t>
            </w:r>
            <w:r w:rsidRPr="00D325AF">
              <w:rPr>
                <w:rFonts w:eastAsiaTheme="minorEastAsia" w:cs="Times New Roman"/>
                <w:b/>
                <w:bCs/>
                <w:sz w:val="18"/>
                <w:szCs w:val="18"/>
              </w:rPr>
              <w:t>**</w:t>
            </w:r>
          </w:p>
        </w:tc>
        <w:tc>
          <w:tcPr>
            <w:tcW w:w="1814" w:type="dxa"/>
            <w:noWrap/>
            <w:hideMark/>
          </w:tcPr>
          <w:p w14:paraId="5DFAF5F1" w14:textId="2395D831" w:rsidR="003C2A40" w:rsidRPr="00D325AF" w:rsidRDefault="003C2A40" w:rsidP="00D325AF">
            <w:pPr>
              <w:spacing w:line="240" w:lineRule="auto"/>
              <w:rPr>
                <w:rFonts w:cs="Times New Roman"/>
                <w:sz w:val="18"/>
                <w:szCs w:val="18"/>
              </w:rPr>
            </w:pPr>
            <w:r w:rsidRPr="00D325AF">
              <w:rPr>
                <w:rFonts w:cs="Times New Roman"/>
                <w:sz w:val="18"/>
                <w:szCs w:val="18"/>
              </w:rPr>
              <w:t>2.887 (1.978, 4.980)</w:t>
            </w:r>
          </w:p>
        </w:tc>
        <w:tc>
          <w:tcPr>
            <w:tcW w:w="1020" w:type="dxa"/>
            <w:noWrap/>
            <w:hideMark/>
          </w:tcPr>
          <w:p w14:paraId="7FB9FB15" w14:textId="2B615DFA" w:rsidR="003C2A40" w:rsidRPr="00D325AF" w:rsidRDefault="003C2A40" w:rsidP="00D325AF">
            <w:pPr>
              <w:spacing w:line="240" w:lineRule="auto"/>
              <w:rPr>
                <w:rFonts w:cs="Times New Roman"/>
                <w:b/>
                <w:bCs/>
                <w:sz w:val="18"/>
                <w:szCs w:val="18"/>
              </w:rPr>
            </w:pPr>
            <w:r w:rsidRPr="00D325AF">
              <w:rPr>
                <w:rFonts w:cs="Times New Roman"/>
                <w:b/>
                <w:bCs/>
                <w:sz w:val="18"/>
                <w:szCs w:val="18"/>
              </w:rPr>
              <w:t>0.017</w:t>
            </w:r>
            <w:r w:rsidRPr="00D325AF">
              <w:rPr>
                <w:rFonts w:eastAsiaTheme="minorEastAsia" w:cs="Times New Roman"/>
                <w:b/>
                <w:bCs/>
                <w:sz w:val="18"/>
                <w:szCs w:val="18"/>
              </w:rPr>
              <w:t>*</w:t>
            </w:r>
          </w:p>
        </w:tc>
        <w:tc>
          <w:tcPr>
            <w:tcW w:w="1814" w:type="dxa"/>
            <w:noWrap/>
            <w:hideMark/>
          </w:tcPr>
          <w:p w14:paraId="1CE26159" w14:textId="1CD96D18" w:rsidR="003C2A40" w:rsidRPr="00D325AF" w:rsidRDefault="003C2A40" w:rsidP="00D325AF">
            <w:pPr>
              <w:spacing w:line="240" w:lineRule="auto"/>
              <w:rPr>
                <w:rFonts w:cs="Times New Roman"/>
                <w:sz w:val="18"/>
                <w:szCs w:val="18"/>
              </w:rPr>
            </w:pPr>
            <w:r w:rsidRPr="00D325AF">
              <w:rPr>
                <w:rFonts w:cs="Times New Roman"/>
                <w:sz w:val="18"/>
                <w:szCs w:val="18"/>
              </w:rPr>
              <w:t>3.330 (1.898, 5.842)</w:t>
            </w:r>
          </w:p>
        </w:tc>
        <w:tc>
          <w:tcPr>
            <w:tcW w:w="1020" w:type="dxa"/>
            <w:noWrap/>
            <w:hideMark/>
          </w:tcPr>
          <w:p w14:paraId="33BD4B9B" w14:textId="1B757EEA" w:rsidR="003C2A40" w:rsidRPr="00D325AF" w:rsidRDefault="003C2A40" w:rsidP="00D325AF">
            <w:pPr>
              <w:spacing w:line="240" w:lineRule="auto"/>
              <w:rPr>
                <w:rFonts w:cs="Times New Roman"/>
                <w:b/>
                <w:bCs/>
                <w:sz w:val="18"/>
                <w:szCs w:val="18"/>
              </w:rPr>
            </w:pPr>
            <w:r w:rsidRPr="00D325AF">
              <w:rPr>
                <w:rFonts w:cs="Times New Roman"/>
                <w:b/>
                <w:bCs/>
                <w:sz w:val="18"/>
                <w:szCs w:val="18"/>
              </w:rPr>
              <w:t>&lt;</w:t>
            </w:r>
            <w:r w:rsidR="00D325AF" w:rsidRPr="00D325AF">
              <w:rPr>
                <w:rFonts w:cs="Times New Roman"/>
                <w:b/>
                <w:bCs/>
                <w:sz w:val="18"/>
                <w:szCs w:val="18"/>
              </w:rPr>
              <w:t xml:space="preserve"> </w:t>
            </w:r>
            <w:r w:rsidRPr="00D325AF">
              <w:rPr>
                <w:rFonts w:cs="Times New Roman"/>
                <w:b/>
                <w:bCs/>
                <w:sz w:val="18"/>
                <w:szCs w:val="18"/>
              </w:rPr>
              <w:t>0.001</w:t>
            </w:r>
            <w:r w:rsidRPr="00D325AF">
              <w:rPr>
                <w:rFonts w:eastAsiaTheme="minorEastAsia" w:cs="Times New Roman"/>
                <w:b/>
                <w:bCs/>
                <w:sz w:val="18"/>
                <w:szCs w:val="18"/>
              </w:rPr>
              <w:t>**</w:t>
            </w:r>
          </w:p>
        </w:tc>
        <w:tc>
          <w:tcPr>
            <w:tcW w:w="1814" w:type="dxa"/>
            <w:noWrap/>
            <w:hideMark/>
          </w:tcPr>
          <w:p w14:paraId="000A3C99" w14:textId="328E5B2A" w:rsidR="003C2A40" w:rsidRPr="00D325AF" w:rsidRDefault="003C2A40" w:rsidP="00D325AF">
            <w:pPr>
              <w:spacing w:line="240" w:lineRule="auto"/>
              <w:rPr>
                <w:rFonts w:cs="Times New Roman"/>
                <w:sz w:val="18"/>
                <w:szCs w:val="18"/>
              </w:rPr>
            </w:pPr>
            <w:r w:rsidRPr="00D325AF">
              <w:rPr>
                <w:rFonts w:cs="Times New Roman"/>
                <w:sz w:val="18"/>
                <w:szCs w:val="18"/>
              </w:rPr>
              <w:t>2.500 (1.385, 4.515)</w:t>
            </w:r>
          </w:p>
        </w:tc>
        <w:tc>
          <w:tcPr>
            <w:tcW w:w="1020" w:type="dxa"/>
            <w:noWrap/>
            <w:hideMark/>
          </w:tcPr>
          <w:p w14:paraId="23C37168" w14:textId="0A6D690F" w:rsidR="003C2A40" w:rsidRPr="00D325AF" w:rsidRDefault="003C2A40" w:rsidP="00D325AF">
            <w:pPr>
              <w:spacing w:line="240" w:lineRule="auto"/>
              <w:rPr>
                <w:rFonts w:cs="Times New Roman"/>
                <w:b/>
                <w:bCs/>
                <w:sz w:val="18"/>
                <w:szCs w:val="18"/>
              </w:rPr>
            </w:pPr>
            <w:r w:rsidRPr="00D325AF">
              <w:rPr>
                <w:rFonts w:cs="Times New Roman"/>
                <w:b/>
                <w:bCs/>
                <w:sz w:val="18"/>
                <w:szCs w:val="18"/>
              </w:rPr>
              <w:t>0.002</w:t>
            </w:r>
            <w:r w:rsidRPr="00D325AF">
              <w:rPr>
                <w:rFonts w:eastAsiaTheme="minorEastAsia" w:cs="Times New Roman"/>
                <w:b/>
                <w:bCs/>
                <w:sz w:val="18"/>
                <w:szCs w:val="18"/>
              </w:rPr>
              <w:t>**</w:t>
            </w:r>
          </w:p>
        </w:tc>
      </w:tr>
      <w:tr w:rsidR="003C2A40" w:rsidRPr="00D325AF" w14:paraId="5ED97B6E" w14:textId="77777777" w:rsidTr="00106C69">
        <w:trPr>
          <w:trHeight w:val="346"/>
        </w:trPr>
        <w:tc>
          <w:tcPr>
            <w:tcW w:w="3119" w:type="dxa"/>
            <w:tcBorders>
              <w:bottom w:val="single" w:sz="4" w:space="0" w:color="auto"/>
            </w:tcBorders>
            <w:noWrap/>
            <w:hideMark/>
          </w:tcPr>
          <w:p w14:paraId="56EE4BF2" w14:textId="47D3DDEC" w:rsidR="003C2A40" w:rsidRPr="00D325AF" w:rsidRDefault="003C2A40" w:rsidP="00D325AF">
            <w:pPr>
              <w:spacing w:line="240" w:lineRule="auto"/>
              <w:rPr>
                <w:rFonts w:cs="Times New Roman"/>
                <w:sz w:val="18"/>
                <w:szCs w:val="18"/>
              </w:rPr>
            </w:pPr>
            <w:r w:rsidRPr="00D325AF">
              <w:rPr>
                <w:rFonts w:cs="Times New Roman"/>
                <w:sz w:val="18"/>
                <w:szCs w:val="18"/>
              </w:rPr>
              <w:t>S-CEA (high vs. low level)</w:t>
            </w:r>
          </w:p>
        </w:tc>
        <w:tc>
          <w:tcPr>
            <w:tcW w:w="1814" w:type="dxa"/>
            <w:tcBorders>
              <w:bottom w:val="single" w:sz="4" w:space="0" w:color="auto"/>
            </w:tcBorders>
            <w:noWrap/>
            <w:hideMark/>
          </w:tcPr>
          <w:p w14:paraId="0EE4691F" w14:textId="16FCBC2E" w:rsidR="003C2A40" w:rsidRPr="00D325AF" w:rsidRDefault="003C2A40" w:rsidP="00D325AF">
            <w:pPr>
              <w:spacing w:line="240" w:lineRule="auto"/>
              <w:rPr>
                <w:rFonts w:cs="Times New Roman"/>
                <w:sz w:val="18"/>
                <w:szCs w:val="18"/>
              </w:rPr>
            </w:pPr>
            <w:r w:rsidRPr="00D325AF">
              <w:rPr>
                <w:rFonts w:cs="Times New Roman" w:hint="eastAsia"/>
                <w:sz w:val="18"/>
                <w:szCs w:val="18"/>
              </w:rPr>
              <w:t>2</w:t>
            </w:r>
            <w:r w:rsidRPr="00D325AF">
              <w:rPr>
                <w:rFonts w:cs="Times New Roman"/>
                <w:sz w:val="18"/>
                <w:szCs w:val="18"/>
              </w:rPr>
              <w:t>.</w:t>
            </w:r>
            <w:r w:rsidRPr="00D325AF">
              <w:rPr>
                <w:rFonts w:cs="Times New Roman" w:hint="eastAsia"/>
                <w:sz w:val="18"/>
                <w:szCs w:val="18"/>
              </w:rPr>
              <w:t>84</w:t>
            </w:r>
            <w:r w:rsidRPr="00D325AF">
              <w:rPr>
                <w:rFonts w:cs="Times New Roman"/>
                <w:sz w:val="18"/>
                <w:szCs w:val="18"/>
              </w:rPr>
              <w:t>4 (1.504, 7.359)</w:t>
            </w:r>
          </w:p>
        </w:tc>
        <w:tc>
          <w:tcPr>
            <w:tcW w:w="1020" w:type="dxa"/>
            <w:tcBorders>
              <w:bottom w:val="single" w:sz="4" w:space="0" w:color="auto"/>
            </w:tcBorders>
            <w:noWrap/>
            <w:hideMark/>
          </w:tcPr>
          <w:p w14:paraId="6BA17472" w14:textId="7B1BD824" w:rsidR="003C2A40" w:rsidRPr="00D325AF" w:rsidRDefault="003C2A40" w:rsidP="00D325AF">
            <w:pPr>
              <w:spacing w:line="240" w:lineRule="auto"/>
              <w:rPr>
                <w:rFonts w:cs="Times New Roman"/>
                <w:b/>
                <w:bCs/>
                <w:sz w:val="18"/>
                <w:szCs w:val="18"/>
              </w:rPr>
            </w:pPr>
            <w:r w:rsidRPr="00D325AF">
              <w:rPr>
                <w:rFonts w:cs="Times New Roman"/>
                <w:b/>
                <w:bCs/>
                <w:sz w:val="18"/>
                <w:szCs w:val="18"/>
              </w:rPr>
              <w:t>0.003</w:t>
            </w:r>
            <w:r w:rsidRPr="00D325AF">
              <w:rPr>
                <w:rFonts w:eastAsiaTheme="minorEastAsia" w:cs="Times New Roman"/>
                <w:b/>
                <w:bCs/>
                <w:sz w:val="18"/>
                <w:szCs w:val="18"/>
              </w:rPr>
              <w:t>**</w:t>
            </w:r>
          </w:p>
        </w:tc>
        <w:tc>
          <w:tcPr>
            <w:tcW w:w="1814" w:type="dxa"/>
            <w:tcBorders>
              <w:bottom w:val="single" w:sz="4" w:space="0" w:color="auto"/>
            </w:tcBorders>
            <w:noWrap/>
            <w:hideMark/>
          </w:tcPr>
          <w:p w14:paraId="2BFD1D5F" w14:textId="569568CD" w:rsidR="003C2A40" w:rsidRPr="00D325AF" w:rsidRDefault="003C2A40" w:rsidP="00D325AF">
            <w:pPr>
              <w:spacing w:line="240" w:lineRule="auto"/>
              <w:rPr>
                <w:rFonts w:cs="Times New Roman"/>
                <w:sz w:val="18"/>
                <w:szCs w:val="18"/>
              </w:rPr>
            </w:pPr>
            <w:r w:rsidRPr="00D325AF">
              <w:rPr>
                <w:rFonts w:cs="Times New Roman"/>
                <w:sz w:val="18"/>
                <w:szCs w:val="18"/>
              </w:rPr>
              <w:t>1.855 (0.812, 4.236)</w:t>
            </w:r>
          </w:p>
        </w:tc>
        <w:tc>
          <w:tcPr>
            <w:tcW w:w="1020" w:type="dxa"/>
            <w:tcBorders>
              <w:bottom w:val="single" w:sz="4" w:space="0" w:color="auto"/>
            </w:tcBorders>
            <w:noWrap/>
            <w:hideMark/>
          </w:tcPr>
          <w:p w14:paraId="285C84FA" w14:textId="77777777" w:rsidR="003C2A40" w:rsidRPr="00D325AF" w:rsidRDefault="003C2A40" w:rsidP="00D325AF">
            <w:pPr>
              <w:spacing w:line="240" w:lineRule="auto"/>
              <w:rPr>
                <w:rFonts w:cs="Times New Roman"/>
                <w:sz w:val="18"/>
                <w:szCs w:val="18"/>
              </w:rPr>
            </w:pPr>
            <w:r w:rsidRPr="00D325AF">
              <w:rPr>
                <w:rFonts w:cs="Times New Roman"/>
                <w:sz w:val="18"/>
                <w:szCs w:val="18"/>
              </w:rPr>
              <w:t>0.142</w:t>
            </w:r>
          </w:p>
        </w:tc>
        <w:tc>
          <w:tcPr>
            <w:tcW w:w="1814" w:type="dxa"/>
            <w:tcBorders>
              <w:bottom w:val="single" w:sz="4" w:space="0" w:color="auto"/>
            </w:tcBorders>
            <w:noWrap/>
            <w:hideMark/>
          </w:tcPr>
          <w:p w14:paraId="00663EE5" w14:textId="5C3AF5AD" w:rsidR="003C2A40" w:rsidRPr="00D325AF" w:rsidRDefault="003C2A40" w:rsidP="00D325AF">
            <w:pPr>
              <w:spacing w:line="240" w:lineRule="auto"/>
              <w:rPr>
                <w:rFonts w:cs="Times New Roman"/>
                <w:sz w:val="18"/>
                <w:szCs w:val="18"/>
              </w:rPr>
            </w:pPr>
            <w:r w:rsidRPr="00D325AF">
              <w:rPr>
                <w:rFonts w:cs="Times New Roman"/>
                <w:sz w:val="18"/>
                <w:szCs w:val="18"/>
              </w:rPr>
              <w:t>1.894 (1.118, 3.210)</w:t>
            </w:r>
          </w:p>
        </w:tc>
        <w:tc>
          <w:tcPr>
            <w:tcW w:w="1020" w:type="dxa"/>
            <w:tcBorders>
              <w:bottom w:val="single" w:sz="4" w:space="0" w:color="auto"/>
            </w:tcBorders>
            <w:noWrap/>
            <w:hideMark/>
          </w:tcPr>
          <w:p w14:paraId="6D878306" w14:textId="226428F0" w:rsidR="003C2A40" w:rsidRPr="00D325AF" w:rsidRDefault="003C2A40" w:rsidP="00D325AF">
            <w:pPr>
              <w:spacing w:line="240" w:lineRule="auto"/>
              <w:rPr>
                <w:rFonts w:cs="Times New Roman"/>
                <w:b/>
                <w:bCs/>
                <w:sz w:val="18"/>
                <w:szCs w:val="18"/>
              </w:rPr>
            </w:pPr>
            <w:r w:rsidRPr="00D325AF">
              <w:rPr>
                <w:rFonts w:cs="Times New Roman"/>
                <w:b/>
                <w:bCs/>
                <w:sz w:val="18"/>
                <w:szCs w:val="18"/>
              </w:rPr>
              <w:t>0.018</w:t>
            </w:r>
            <w:r w:rsidRPr="00D325AF">
              <w:rPr>
                <w:rFonts w:eastAsiaTheme="minorEastAsia" w:cs="Times New Roman"/>
                <w:b/>
                <w:bCs/>
                <w:sz w:val="18"/>
                <w:szCs w:val="18"/>
              </w:rPr>
              <w:t>*</w:t>
            </w:r>
          </w:p>
        </w:tc>
        <w:tc>
          <w:tcPr>
            <w:tcW w:w="1814" w:type="dxa"/>
            <w:tcBorders>
              <w:bottom w:val="single" w:sz="4" w:space="0" w:color="auto"/>
            </w:tcBorders>
            <w:noWrap/>
            <w:hideMark/>
          </w:tcPr>
          <w:p w14:paraId="02BA60FD" w14:textId="6496468A" w:rsidR="003C2A40" w:rsidRPr="00D325AF" w:rsidRDefault="003C2A40" w:rsidP="00D325AF">
            <w:pPr>
              <w:spacing w:line="240" w:lineRule="auto"/>
              <w:rPr>
                <w:rFonts w:cs="Times New Roman"/>
                <w:sz w:val="18"/>
                <w:szCs w:val="18"/>
              </w:rPr>
            </w:pPr>
            <w:r w:rsidRPr="00D325AF">
              <w:rPr>
                <w:rFonts w:cs="Times New Roman"/>
                <w:sz w:val="18"/>
                <w:szCs w:val="18"/>
              </w:rPr>
              <w:t>1.274 (0.734, 2.213)</w:t>
            </w:r>
          </w:p>
        </w:tc>
        <w:tc>
          <w:tcPr>
            <w:tcW w:w="1020" w:type="dxa"/>
            <w:tcBorders>
              <w:bottom w:val="single" w:sz="4" w:space="0" w:color="auto"/>
            </w:tcBorders>
            <w:noWrap/>
            <w:hideMark/>
          </w:tcPr>
          <w:p w14:paraId="432789AD" w14:textId="16E52AA1" w:rsidR="003C2A40" w:rsidRPr="00D325AF" w:rsidRDefault="003C2A40" w:rsidP="00D325AF">
            <w:pPr>
              <w:spacing w:line="240" w:lineRule="auto"/>
              <w:rPr>
                <w:rFonts w:cs="Times New Roman"/>
                <w:sz w:val="18"/>
                <w:szCs w:val="18"/>
              </w:rPr>
            </w:pPr>
            <w:r w:rsidRPr="00D325AF">
              <w:rPr>
                <w:rFonts w:cs="Times New Roman"/>
                <w:sz w:val="18"/>
                <w:szCs w:val="18"/>
              </w:rPr>
              <w:t>0.39</w:t>
            </w:r>
            <w:r w:rsidRPr="00D325AF">
              <w:rPr>
                <w:rFonts w:cs="Times New Roman" w:hint="eastAsia"/>
                <w:sz w:val="18"/>
                <w:szCs w:val="18"/>
              </w:rPr>
              <w:t>0</w:t>
            </w:r>
          </w:p>
        </w:tc>
      </w:tr>
    </w:tbl>
    <w:p w14:paraId="4D98D614" w14:textId="77777777" w:rsidR="00D325AF" w:rsidRDefault="00D325AF" w:rsidP="00D325AF">
      <w:pPr>
        <w:spacing w:line="240" w:lineRule="auto"/>
        <w:rPr>
          <w:rFonts w:eastAsiaTheme="minorEastAsia" w:cs="Times New Roman"/>
          <w:sz w:val="18"/>
          <w:szCs w:val="18"/>
        </w:rPr>
      </w:pPr>
      <w:r>
        <w:rPr>
          <w:rFonts w:eastAsiaTheme="minorEastAsia" w:cs="Times New Roman"/>
          <w:sz w:val="18"/>
          <w:szCs w:val="18"/>
        </w:rPr>
        <w:t xml:space="preserve">Note: </w:t>
      </w:r>
      <w:r w:rsidR="002468C7" w:rsidRPr="00D325AF">
        <w:rPr>
          <w:rFonts w:eastAsiaTheme="minorEastAsia" w:cs="Times New Roman"/>
          <w:sz w:val="18"/>
          <w:szCs w:val="18"/>
        </w:rPr>
        <w:t>*</w:t>
      </w:r>
      <w:r>
        <w:rPr>
          <w:rFonts w:eastAsiaTheme="minorEastAsia" w:cs="Times New Roman"/>
          <w:sz w:val="18"/>
          <w:szCs w:val="18"/>
        </w:rPr>
        <w:t>p</w:t>
      </w:r>
      <w:r w:rsidR="002468C7" w:rsidRPr="00D325AF">
        <w:rPr>
          <w:rFonts w:eastAsiaTheme="minorEastAsia" w:cs="Times New Roman"/>
          <w:sz w:val="18"/>
          <w:szCs w:val="18"/>
        </w:rPr>
        <w:t xml:space="preserve"> &lt; 0.05; **</w:t>
      </w:r>
      <w:r>
        <w:rPr>
          <w:rFonts w:eastAsiaTheme="minorEastAsia" w:cs="Times New Roman"/>
          <w:sz w:val="18"/>
          <w:szCs w:val="18"/>
        </w:rPr>
        <w:t>p</w:t>
      </w:r>
      <w:r w:rsidR="002468C7" w:rsidRPr="00D325AF">
        <w:rPr>
          <w:rFonts w:eastAsiaTheme="minorEastAsia" w:cs="Times New Roman"/>
          <w:sz w:val="18"/>
          <w:szCs w:val="18"/>
        </w:rPr>
        <w:t xml:space="preserve"> &lt; 0.01</w:t>
      </w:r>
    </w:p>
    <w:p w14:paraId="0FB56FD6" w14:textId="1C9EBD64" w:rsidR="002468C7" w:rsidRPr="00D325AF" w:rsidRDefault="00D325AF" w:rsidP="00D325AF">
      <w:pPr>
        <w:spacing w:line="240" w:lineRule="auto"/>
      </w:pPr>
      <w:r>
        <w:rPr>
          <w:rFonts w:eastAsiaTheme="minorEastAsia" w:cs="Times New Roman"/>
          <w:sz w:val="18"/>
          <w:szCs w:val="18"/>
        </w:rPr>
        <w:t xml:space="preserve">Abbreviations: </w:t>
      </w:r>
      <w:r w:rsidR="002468C7" w:rsidRPr="00D325AF">
        <w:rPr>
          <w:rFonts w:cs="Times New Roman"/>
          <w:sz w:val="18"/>
          <w:szCs w:val="18"/>
          <w:vertAlign w:val="superscript"/>
        </w:rPr>
        <w:t>§</w:t>
      </w:r>
      <w:r w:rsidR="002468C7" w:rsidRPr="00D325AF">
        <w:rPr>
          <w:rFonts w:cs="Times New Roman"/>
          <w:sz w:val="18"/>
          <w:szCs w:val="18"/>
        </w:rPr>
        <w:t>LNM</w:t>
      </w:r>
      <w:r>
        <w:rPr>
          <w:rFonts w:cs="Times New Roman"/>
          <w:sz w:val="18"/>
          <w:szCs w:val="18"/>
        </w:rPr>
        <w:t>-</w:t>
      </w:r>
      <w:r w:rsidR="002468C7" w:rsidRPr="00D325AF">
        <w:rPr>
          <w:rFonts w:cs="Times New Roman"/>
          <w:sz w:val="18"/>
          <w:szCs w:val="18"/>
        </w:rPr>
        <w:t xml:space="preserve">lymph node metastasis; </w:t>
      </w:r>
      <w:r w:rsidR="002468C7" w:rsidRPr="00D325AF">
        <w:rPr>
          <w:rFonts w:cs="Times New Roman"/>
          <w:sz w:val="18"/>
          <w:szCs w:val="18"/>
          <w:vertAlign w:val="superscript"/>
        </w:rPr>
        <w:t>¶</w:t>
      </w:r>
      <w:r w:rsidR="002468C7" w:rsidRPr="00D325AF">
        <w:rPr>
          <w:rFonts w:cs="Times New Roman"/>
          <w:sz w:val="18"/>
          <w:szCs w:val="18"/>
        </w:rPr>
        <w:t>NAC</w:t>
      </w:r>
      <w:r>
        <w:rPr>
          <w:rFonts w:cs="Times New Roman"/>
          <w:sz w:val="18"/>
          <w:szCs w:val="18"/>
        </w:rPr>
        <w:t>-</w:t>
      </w:r>
      <w:r w:rsidR="002468C7" w:rsidRPr="00D325AF">
        <w:rPr>
          <w:rFonts w:cs="Times New Roman"/>
          <w:sz w:val="18"/>
          <w:szCs w:val="18"/>
        </w:rPr>
        <w:t>neoadjuvant chemotherapy</w:t>
      </w:r>
    </w:p>
    <w:sectPr w:rsidR="002468C7" w:rsidRPr="00D325AF" w:rsidSect="00D325AF">
      <w:type w:val="nextPage"/>
      <w:pgSz w:w="16840" w:h="11900" w:orient="landscape"/>
      <w:pgMar w:top="1134" w:right="1134" w:bottom="1134"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53B2F" w14:textId="77777777" w:rsidR="004E13ED" w:rsidRDefault="004E13ED" w:rsidP="00246703">
      <w:pPr>
        <w:spacing w:line="240" w:lineRule="auto"/>
      </w:pPr>
      <w:r>
        <w:separator/>
      </w:r>
    </w:p>
  </w:endnote>
  <w:endnote w:type="continuationSeparator" w:id="0">
    <w:p w14:paraId="5D9B3207" w14:textId="77777777" w:rsidR="004E13ED" w:rsidRDefault="004E13ED" w:rsidP="002467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29C7" w14:textId="77777777" w:rsidR="004E13ED" w:rsidRDefault="004E13ED" w:rsidP="00246703">
      <w:pPr>
        <w:spacing w:line="240" w:lineRule="auto"/>
      </w:pPr>
      <w:r>
        <w:separator/>
      </w:r>
    </w:p>
  </w:footnote>
  <w:footnote w:type="continuationSeparator" w:id="0">
    <w:p w14:paraId="38145AE7" w14:textId="77777777" w:rsidR="004E13ED" w:rsidRDefault="004E13ED" w:rsidP="002467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E8B9" w14:textId="77777777" w:rsidR="00D325AF" w:rsidRPr="00D325AF" w:rsidRDefault="00D325AF" w:rsidP="00D325AF">
    <w:pPr>
      <w:pStyle w:val="Hlavika"/>
      <w:pBdr>
        <w:bottom w:val="none" w:sz="0" w:space="0" w:color="auto"/>
      </w:pBdr>
      <w:jc w:val="both"/>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49EE"/>
    <w:multiLevelType w:val="hybridMultilevel"/>
    <w:tmpl w:val="69BCE074"/>
    <w:lvl w:ilvl="0" w:tplc="C868F6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AB7207"/>
    <w:multiLevelType w:val="hybridMultilevel"/>
    <w:tmpl w:val="06926A6C"/>
    <w:lvl w:ilvl="0" w:tplc="319209FC">
      <w:start w:val="1"/>
      <w:numFmt w:val="upperLetter"/>
      <w:lvlText w:val="%1."/>
      <w:lvlJc w:val="left"/>
      <w:pPr>
        <w:ind w:left="360" w:hanging="360"/>
      </w:pPr>
      <w:rPr>
        <w:rFonts w:ascii="Arial" w:eastAsiaTheme="minorEastAsia" w:hAnsi="Arial" w:cs="Arial"/>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705753"/>
    <w:multiLevelType w:val="hybridMultilevel"/>
    <w:tmpl w:val="BAE2EF7E"/>
    <w:lvl w:ilvl="0" w:tplc="FFFFFFFF">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4947425"/>
    <w:multiLevelType w:val="hybridMultilevel"/>
    <w:tmpl w:val="1B8C51CC"/>
    <w:lvl w:ilvl="0" w:tplc="FFFFFFFF">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DBA04E2"/>
    <w:multiLevelType w:val="hybridMultilevel"/>
    <w:tmpl w:val="F4226B82"/>
    <w:lvl w:ilvl="0" w:tplc="FFFFFFFF">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70896105">
    <w:abstractNumId w:val="2"/>
  </w:num>
  <w:num w:numId="2" w16cid:durableId="1764102527">
    <w:abstractNumId w:val="3"/>
  </w:num>
  <w:num w:numId="3" w16cid:durableId="2080782038">
    <w:abstractNumId w:val="1"/>
  </w:num>
  <w:num w:numId="4" w16cid:durableId="1857500616">
    <w:abstractNumId w:val="4"/>
  </w:num>
  <w:num w:numId="5" w16cid:durableId="68972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024E1EB5-B2AB-4598-9034-B3864C2A65E7}" w:val=" ADDIN NE.Ref.{024E1EB5-B2AB-4598-9034-B3864C2A65E7}&lt;Citation&gt;&lt;Group&gt;&lt;References&gt;&lt;Item&gt;&lt;ID&gt;916&lt;/ID&gt;&lt;UID&gt;{BE14391A-A913-4992-AD08-F5289E9F4AFB}&lt;/UID&gt;&lt;Title&gt;Human carcinoembryonic antigen, an intercellular adhesion molecule, blocks fusion  and differentiation of rat myoblasts&lt;/Title&gt;&lt;Template&gt;Journal Article&lt;/Template&gt;&lt;Star&gt;0&lt;/Star&gt;&lt;Tag&gt;0&lt;/Tag&gt;&lt;Author&gt;Eidelman, F J; Fuks, A; DeMarte, L; Taheri, M; Stanners, C P&lt;/Author&gt;&lt;Year&gt;1993&lt;/Year&gt;&lt;Details&gt;&lt;_accession_num&gt;8408226&lt;/_accession_num&gt;&lt;_author_adr&gt;McGill Cancer Centre, Biochemistry Department, McGill University, Montreal,  Quebec, Canada.&lt;/_author_adr&gt;&lt;_collection_scope&gt;SCI;SCIE&lt;/_collection_scope&gt;&lt;_created&gt;65039965&lt;/_created&gt;&lt;_date&gt;1993-10-01&lt;/_date&gt;&lt;_date_display&gt;1993 Oct&lt;/_date_display&gt;&lt;_db_updated&gt;PubMed&lt;/_db_updated&gt;&lt;_doi&gt;10.1083/jcb.123.2.467&lt;/_doi&gt;&lt;_impact_factor&gt;  10.539&lt;/_impact_factor&gt;&lt;_isbn&gt;0021-9525 (Print); 1540-8140 (Electronic); 0021-9525 (Linking)&lt;/_isbn&gt;&lt;_issue&gt;2&lt;/_issue&gt;&lt;_journal&gt;J Cell Biol&lt;/_journal&gt;&lt;_language&gt;eng&lt;/_language&gt;&lt;_modified&gt;65039965&lt;/_modified&gt;&lt;_pages&gt;467-75&lt;/_pages&gt;&lt;_subject_headings&gt;Actins/analysis/genetics/physiology; Animals; Base Sequence; Blotting, Northern; Carcinoembryonic Antigen/analysis/genetics/*physiology; Cell Differentiation/physiology; Cell Division/physiology; Cell Fusion/physiology; Cell Line; Cell Transformation, Neoplastic/genetics/metabolism; Creatine Kinase/analysis/genetics/physiology; DNA/genetics; Down-Regulation; Models, Biological; Molecular Sequence Data; Muscles/chemistry/*cytology/*embryology; Myogenin/analysis/genetics/physiology; Rats; Transfection; Up-Regulation&lt;/_subject_headings&gt;&lt;_tertiary_title&gt;The Journal of cell biology&lt;/_tertiary_title&gt;&lt;_type_work&gt;Journal Article; Research Support, Non-U.S. Gov&amp;apos;t&lt;/_type_work&gt;&lt;_url&gt;http://www.ncbi.nlm.nih.gov/entrez/query.fcgi?cmd=Retrieve&amp;amp;db=pubmed&amp;amp;dopt=Abstract&amp;amp;list_uids=8408226&amp;amp;query_hl=1&lt;/_url&gt;&lt;_volume&gt;123&lt;/_volume&gt;&lt;/Details&gt;&lt;Extra&gt;&lt;DBUID&gt;{80FCD0DE-45A7-4B42-9F5C-3A940A7F46F3}&lt;/DBUID&gt;&lt;/Extra&gt;&lt;/Item&gt;&lt;/References&gt;&lt;/Group&gt;&lt;/Citation&gt;_x000a_"/>
    <w:docVar w:name="NE.Ref{043CAE68-4814-4EE0-AEFF-18F3394ADF3A}" w:val=" ADDIN NE.Ref.{043CAE68-4814-4EE0-AEFF-18F3394ADF3A}&lt;Citation&gt;&lt;Group&gt;&lt;References&gt;&lt;Item&gt;&lt;ID&gt;853&lt;/ID&gt;&lt;UID&gt;{D92F5309-D065-4723-ADAB-6E7BF9A28BB9}&lt;/UID&gt;&lt;Title&gt;The carcinoembryonic antigen (CEA) family: structures, suggested functions and  expression in normal and malignant tissues&lt;/Title&gt;&lt;Template&gt;Journal Article&lt;/Template&gt;&lt;Star&gt;0&lt;/Star&gt;&lt;Tag&gt;0&lt;/Tag&gt;&lt;Author&gt;Hammarstrom, S&lt;/Author&gt;&lt;Year&gt;1999&lt;/Year&gt;&lt;Details&gt;&lt;_accession_num&gt;10202129&lt;/_accession_num&gt;&lt;_author_adr&gt;Department of Immunology, Umea University, Umea, SE-90185, Sweden.&lt;/_author_adr&gt;&lt;_collection_scope&gt;SCI;SCIE&lt;/_collection_scope&gt;&lt;_created&gt;65012761&lt;/_created&gt;&lt;_date&gt;1999-04-01&lt;/_date&gt;&lt;_date_display&gt;1999 Apr&lt;/_date_display&gt;&lt;_db_updated&gt;PubMed&lt;/_db_updated&gt;&lt;_doi&gt;10.1006/scbi.1998.0119&lt;/_doi&gt;&lt;_impact_factor&gt;  15.707&lt;/_impact_factor&gt;&lt;_isbn&gt;1044-579X (Print); 1044-579X (Linking)&lt;/_isbn&gt;&lt;_issue&gt;2&lt;/_issue&gt;&lt;_journal&gt;Semin Cancer Biol&lt;/_journal&gt;&lt;_language&gt;eng&lt;/_language&gt;&lt;_modified&gt;65012761&lt;/_modified&gt;&lt;_ori_publication&gt;Copyright 1999 Academic Press.&lt;/_ori_publication&gt;&lt;_pages&gt;67-81&lt;/_pages&gt;&lt;_subject_headings&gt;Carcinoembryonic Antigen/analysis/*genetics; Gene Expression Regulation, Neoplastic; Genes/genetics; Humans; Immunohistochemistry; *Multigene Family; Neoplasms/genetics/metabolism/pathology&lt;/_subject_headings&gt;&lt;_tertiary_title&gt;Seminars in cancer biology&lt;/_tertiary_title&gt;&lt;_type_work&gt;Journal Article; Research Support, Non-U.S. Gov&amp;apos;t; Review&lt;/_type_work&gt;&lt;_url&gt;http://www.ncbi.nlm.nih.gov/entrez/query.fcgi?cmd=Retrieve&amp;amp;db=pubmed&amp;amp;dopt=Abstract&amp;amp;list_uids=10202129&amp;amp;query_hl=1&lt;/_url&gt;&lt;_volume&gt;9&lt;/_volume&gt;&lt;/Details&gt;&lt;Extra&gt;&lt;DBUID&gt;{80FCD0DE-45A7-4B42-9F5C-3A940A7F46F3}&lt;/DBUID&gt;&lt;/Extra&gt;&lt;/Item&gt;&lt;/References&gt;&lt;/Group&gt;&lt;/Citation&gt;_x000a_"/>
    <w:docVar w:name="NE.Ref{04B32163-792A-479C-8A8E-22E6A03DF1A7}" w:val=" ADDIN NE.Ref.{04B32163-792A-479C-8A8E-22E6A03DF1A7}&lt;Citation&gt;&lt;Group&gt;&lt;References&gt;&lt;Item&gt;&lt;ID&gt;850&lt;/ID&gt;&lt;UID&gt;{DD22F60A-A1EF-4271-BD7A-5577B9EAA618}&lt;/UID&gt;&lt;Title&gt;Specific carcinoembryonic antigens of the human digestive system&lt;/Title&gt;&lt;Template&gt;Journal Article&lt;/Template&gt;&lt;Star&gt;0&lt;/Star&gt;&lt;Tag&gt;0&lt;/Tag&gt;&lt;Author&gt;Gold, P; Freedman, S O&lt;/Author&gt;&lt;Year&gt;1965&lt;/Year&gt;&lt;Details&gt;&lt;_accession_num&gt;4953873&lt;/_accession_num&gt;&lt;_collection_scope&gt;SCI;SCIE&lt;/_collection_scope&gt;&lt;_created&gt;65012727&lt;/_created&gt;&lt;_date&gt;1965-09-01&lt;/_date&gt;&lt;_date_display&gt;1965 Sep 1&lt;/_date_display&gt;&lt;_db_updated&gt;PubMed&lt;/_db_updated&gt;&lt;_doi&gt;10.1084/jem.122.3.467&lt;/_doi&gt;&lt;_impact_factor&gt;  14.307&lt;/_impact_factor&gt;&lt;_isbn&gt;0022-1007 (Print); 1540-9538 (Electronic); 0022-1007 (Linking)&lt;/_isbn&gt;&lt;_issue&gt;3&lt;/_issue&gt;&lt;_journal&gt;J Exp Med&lt;/_journal&gt;&lt;_language&gt;eng&lt;/_language&gt;&lt;_modified&gt;65012727&lt;/_modified&gt;&lt;_pages&gt;467-81&lt;/_pages&gt;&lt;_subject_headings&gt;*Antigens; Cell Differentiation; Colonic Neoplasms/*immunology; Enzyme Repression; Female; *Fetus; Gastrointestinal Neoplasms/*immunology; Humans; Immunodiffusion; *Intestines; *Liver; Molecular Biology; *Pancreas; Pregnancy; RNA, Messenger/biosynthesis&lt;/_subject_headings&gt;&lt;_tertiary_title&gt;The Journal of experimental medicine&lt;/_tertiary_title&gt;&lt;_type_work&gt;Journal Article&lt;/_type_work&gt;&lt;_url&gt;http://www.ncbi.nlm.nih.gov/entrez/query.fcgi?cmd=Retrieve&amp;amp;db=pubmed&amp;amp;dopt=Abstract&amp;amp;list_uids=4953873&amp;amp;query_hl=1&lt;/_url&gt;&lt;_volume&gt;122&lt;/_volume&gt;&lt;/Details&gt;&lt;Extra&gt;&lt;DBUID&gt;{80FCD0DE-45A7-4B42-9F5C-3A940A7F46F3}&lt;/DBUID&gt;&lt;/Extra&gt;&lt;/Item&gt;&lt;/References&gt;&lt;/Group&gt;&lt;/Citation&gt;_x000a_"/>
    <w:docVar w:name="NE.Ref{055B295E-6D13-479A-8AF1-9C73741D8925}" w:val=" ADDIN NE.Ref.{055B295E-6D13-479A-8AF1-9C73741D8925}&lt;Citation&gt;&lt;Group&gt;&lt;References&gt;&lt;Item&gt;&lt;ID&gt;197&lt;/ID&gt;&lt;UID&gt;{45A109A8-70E1-4078-8740-43700C02DDA7}&lt;/UID&gt;&lt;Title&gt;Dietary alpha-eleostearic acid ameliorates experimental inflammatory bowel disease in mice by activating peroxisome proliferator-activated receptor-gamma&lt;/Title&gt;&lt;Template&gt;Journal Article&lt;/Template&gt;&lt;Star&gt;0&lt;/Star&gt;&lt;Tag&gt;0&lt;/Tag&gt;&lt;Author&gt;Lewis, S N; Brannan, L; Guri, A J; Lu, P; Hontecillas, R; Bassaganya-Riera, J; Bevan, D R&lt;/Author&gt;&lt;Year&gt;2011&lt;/Year&gt;&lt;Details&gt;&lt;_accession_num&gt;21904603&lt;/_accession_num&gt;&lt;_author_adr&gt;Genetics, Bioinformatics, and Computational Biology Program, Virginia Tech, Blacksburg, Virginia, United States of America. snl@vt.edu&lt;/_author_adr&gt;&lt;_date_display&gt;2011&lt;/_date_display&gt;&lt;_date&gt;2011-01-20&lt;/_date&gt;&lt;_doi&gt;10.1371/journal.pone.0024031&lt;/_doi&gt;&lt;_isbn&gt;1932-6203 (Electronic); 1932-6203 (Linking)&lt;/_isbn&gt;&lt;_issue&gt;8&lt;/_issue&gt;&lt;_journal&gt;PLoS One&lt;/_journal&gt;&lt;_language&gt;eng&lt;/_language&gt;&lt;_pages&gt;e24031&lt;/_pages&gt;&lt;_subject_headings&gt;Animals; Cell Line; Inflammatory Bowel Diseases/*drug therapy/*metabolism; Linolenic Acids/*therapeutic use; Mice; PPAR gamma/agonists/*metabolism; Real-Time Polymerase Chain Reaction&lt;/_subject_headings&gt;&lt;_tertiary_title&gt;PloS one&lt;/_tertiary_title&gt;&lt;_type_work&gt;Journal Article; Research Support, N.I.H., Extramural; Research Support, Non-U.S. Gov&amp;apos;t&lt;/_type_work&gt;&lt;_url&gt;http://www.ncbi.nlm.nih.gov/entrez/query.fcgi?cmd=Retrieve&amp;amp;db=pubmed&amp;amp;dopt=Abstract&amp;amp;list_uids=21904603&amp;amp;query_hl=1&lt;/_url&gt;&lt;_volume&gt;6&lt;/_volume&gt;&lt;_created&gt;64284401&lt;/_created&gt;&lt;_modified&gt;64284401&lt;/_modified&gt;&lt;_db_updated&gt;PubMed&lt;/_db_updated&gt;&lt;_impact_factor&gt;   3.240&lt;/_impact_factor&gt;&lt;_collection_scope&gt;SCIE&lt;/_collection_scope&gt;&lt;/Details&gt;&lt;Extra&gt;&lt;DBUID&gt;{80FCD0DE-45A7-4B42-9F5C-3A940A7F46F3}&lt;/DBUID&gt;&lt;/Extra&gt;&lt;/Item&gt;&lt;/References&gt;&lt;/Group&gt;&lt;/Citation&gt;_x000a_"/>
    <w:docVar w:name="NE.Ref{07021141-B627-4F85-AC53-FB87BC30DB70}" w:val=" ADDIN NE.Ref.{07021141-B627-4F85-AC53-FB87BC30DB70}&lt;Citation&gt;&lt;Group&gt;&lt;References&gt;&lt;Item&gt;&lt;ID&gt;231&lt;/ID&gt;&lt;UID&gt;{97BB1803-2607-4809-8236-BE0350987F46}&lt;/UID&gt;&lt;Title&gt;An inflammation-targeting hydrogel for local drug delivery in inflammatory bowel  disease&lt;/Title&gt;&lt;Template&gt;Journal Article&lt;/Template&gt;&lt;Star&gt;0&lt;/Star&gt;&lt;Tag&gt;0&lt;/Tag&gt;&lt;Author&gt;Zhang, S; Ermann, J; Succi, M D; Zhou, A; Hamilton, M J; Cao, B; Korzenik, J R; Glickman, J N; Vemula, P K; Glimcher, L H; Traverso, G; Langer, R; Karp, J M&lt;/Author&gt;&lt;Year&gt;2015&lt;/Year&gt;&lt;Details&gt;&lt;_accession_num&gt;26268315&lt;/_accession_num&gt;&lt;_author_adr&gt;The David H. Koch Institute for Integrative Cancer Research, Massachusetts Institute of Technology, Cambridge, MA 02139, USA. Center for Regenerative Therapeutics, Biomedical Research Institute, Brigham and Women&amp;apos;s Hospital, Boston, MA 02115, USA. Department of Chemical Engineering, Massachusetts Institute of Technology, Cambridge, MA 02139, USA.; Division of Rheumatology, Immunology and Allergy, Brigham and Women&amp;apos;s Hospital, Boston, MA 02115, USA. Harvard Medical School, Boston, MA 02115, USA.; The David H. Koch Institute for Integrative Cancer Research, Massachusetts Institute of Technology, Cambridge, MA 02139, USA. Center for Regenerative Therapeutics, Biomedical Research Institute, Brigham and Women&amp;apos;s Hospital, Boston, MA 02115, USA. Harvard Medical School, Boston, MA 02115, USA.; Center for Regenerative Therapeutics, Biomedical Research Institute, Brigham and  Women&amp;apos;s Hospital, Boston, MA 02115, USA.; Harvard Medical School, Boston, MA 02115, USA. Division of Gastroenterology, Hepatology and Endoscopy, Brigham and Women&amp;apos;s Hospital, Boston, MA 02115, USA.; Division of Gastroenterology, Hepatology and Endoscopy, Brigham and Women&amp;apos;s Hospital, Boston, MA 02115, USA.; Harvard Medical School, Boston, MA 02115, USA. Division of Gastroenterology, Hepatology and Endoscopy, Brigham and Women&amp;apos;s Hospital, Boston, MA 02115, USA.; Harvard Medical School, Boston, MA 02115, USA. Miraca Life Sciences, Newton, MA 02464, USA.; Institute for Stem Cell Biology and Regenerative Medicine (inStem), Bangalore 560065, India.; Weill Cornell Medical College, New York, NY 10065, USA.; The David H. Koch Institute for Integrative Cancer Research, Massachusetts Institute of Technology, Cambridge, MA 02139, USA. Harvard Medical School, Boston, MA 02115, USA. Division of Gastroenterology, Massachusetts General Hospital, Boston, MA 02114, USA. rlanger@mit.edu jmkarp@partners.org ctraverso@partners.org.; The David H. Koch Institute for Integrative Cancer Research, Massachusetts Institute of Technology, Cambridge, MA 02139, USA. Department of Chemical Engineering, Massachusetts Institute of Technology, Cambridge, MA 02139, USA. Harvard-Massachusetts Institute of Technology Division of Health Sciences and Technology, Cambridge, MA 02139, USA. rlanger@mit.edu jmkarp@partners.org ctraverso@partners.org.; Center for Regenerative Therapeutics, Biomedical Research Institute, Brigham and  Women&amp;apos;s Hospital, Boston, MA 02115, USA. Harvard Medical School, Boston, MA 02115, USA. Harvard-Massachusetts Institute of Technology Division of Health Sciences and Technology, Cambridge, MA 02139, USA. Harvard Stem Cell Institute, Cambridge, MA 02138, USA. rlanger@mit.edu jmkarp@partners.org ctraverso@partners.org.&lt;/_author_adr&gt;&lt;_date_display&gt;2015 Aug 12&lt;/_date_display&gt;&lt;_date&gt;2015-08-12&lt;/_date&gt;&lt;_doi&gt;10.1126/scitranslmed.aaa5657&lt;/_doi&gt;&lt;_isbn&gt;1946-6242 (Electronic); 1946-6234 (Linking)&lt;/_isbn&gt;&lt;_issue&gt;300&lt;/_issue&gt;&lt;_journal&gt;Sci Transl Med&lt;/_journal&gt;&lt;_language&gt;eng&lt;/_language&gt;&lt;_ori_publication&gt;Copyright (c) 2015, American Association for the Advancement of Science.&lt;/_ori_publication&gt;&lt;_pages&gt;300ra128&lt;/_pages&gt;&lt;_subject_headings&gt;Animals; Biopsy; Colitis/drug therapy/pathology; Colon/drug effects/pathology; Dexamethasone/pharmacology/therapeutic use; Drug Delivery Systems/*methods; Humans; Hydrogel, Polyethylene Glycol Dimethacrylate/*administration &amp;amp; dosage; Inflammation/*drug therapy/*pathology; Inflammatory Bowel Diseases/*drug therapy/*pathology; Intestinal Mucosa/drug effects/metabolism/pathology; Macrophages/drug effects/metabolism; Mice, Inbred BALB C; Treatment Outcome&lt;/_subject_headings&gt;&lt;_tertiary_title&gt;Science translational medicine&lt;/_tertiary_title&gt;&lt;_type_work&gt;Journal Article; Research Support, N.I.H., Extramural; Research Support, Non-U.S. Gov&amp;apos;t&lt;/_type_work&gt;&lt;_url&gt;http://www.ncbi.nlm.nih.gov/entrez/query.fcgi?cmd=Retrieve&amp;amp;db=pubmed&amp;amp;dopt=Abstract&amp;amp;list_uids=26268315&amp;amp;query_hl=1&lt;/_url&gt;&lt;_volume&gt;7&lt;/_volume&gt;&lt;_created&gt;64289663&lt;/_created&gt;&lt;_modified&gt;64289664&lt;/_modified&gt;&lt;_db_updated&gt;PubMed&lt;/_db_updated&gt;&lt;_impact_factor&gt;  17.956&lt;/_impact_factor&gt;&lt;_collection_scope&gt;SCIE&lt;/_collection_scope&gt;&lt;/Details&gt;&lt;Extra&gt;&lt;DBUID&gt;{80FCD0DE-45A7-4B42-9F5C-3A940A7F46F3}&lt;/DBUID&gt;&lt;/Extra&gt;&lt;/Item&gt;&lt;/References&gt;&lt;/Group&gt;&lt;Group&gt;&lt;References&gt;&lt;Item&gt;&lt;ID&gt;232&lt;/ID&gt;&lt;UID&gt;{A23CDABD-100D-4A11-8219-A286783C0087}&lt;/UID&gt;&lt;Title&gt;Lipid mediator-induced expression of bactericidal/ permeability-increasing protein (BPI) in human mucosal epithelia&lt;/Title&gt;&lt;Template&gt;Journal Article&lt;/Template&gt;&lt;Star&gt;0&lt;/Star&gt;&lt;Tag&gt;0&lt;/Tag&gt;&lt;Author&gt;Canny, G; Levy, O; Furuta, G T; Narravula-Alipati, S; Sisson, R B; Serhan, C N; Colgan, S P&lt;/Author&gt;&lt;Year&gt;2002&lt;/Year&gt;&lt;Details&gt;&lt;_accession_num&gt;11891303&lt;/_accession_num&gt;&lt;_author_adr&gt;Department of Veterinary Physiology, University College of Dublin, Dublin 4, Ireland.&lt;/_author_adr&gt;&lt;_date_display&gt;2002 Mar 19&lt;/_date_display&gt;&lt;_date&gt;2002-03-19&lt;/_date&gt;&lt;_doi&gt;10.1073/pnas.052533799&lt;/_doi&gt;&lt;_isbn&gt;0027-8424 (Print); 0027-8424 (Linking)&lt;/_isbn&gt;&lt;_issue&gt;6&lt;/_issue&gt;&lt;_journal&gt;Proc Natl Acad Sci U S A&lt;/_journal&gt;&lt;_language&gt;eng&lt;/_language&gt;&lt;_pages&gt;3902-7&lt;/_pages&gt;&lt;_subject_headings&gt;Anti-Bacterial Agents/*metabolism/pharmacology; Anti-Inflammatory Agents/metabolism/pharmacology; Antimicrobial Cationic Peptides; Blood Proteins/biosynthesis/genetics/*metabolism/pharmacology; Caco-2 Cells; Cell Line; Cell Membrane/drug effects/metabolism; Epithelial Cells/cytology/drug effects/metabolism; Gene Expression Regulation/*drug effects; Humans; Inflammation/metabolism/microbiology/pathology; Lipids/*pharmacology; Lipopolysaccharides/antagonists &amp;amp; inhibitors/metabolism/pharmacology; *Membrane Proteins; Mucous Membrane/cytology/*drug effects/*metabolism; Protein Transport; Salmonella typhimurium/physiology&lt;/_subject_headings&gt;&lt;_tertiary_title&gt;Proceedings of the National Academy of Sciences of the United States of America&lt;/_tertiary_title&gt;&lt;_type_work&gt;Journal Article; Research Support, Non-U.S. Gov&amp;apos;t; Research Support, U.S. Gov&amp;apos;t, P.H.S.&lt;/_type_work&gt;&lt;_url&gt;http://www.ncbi.nlm.nih.gov/entrez/query.fcgi?cmd=Retrieve&amp;amp;db=pubmed&amp;amp;dopt=Abstract&amp;amp;list_uids=11891303&amp;amp;query_hl=1&lt;/_url&gt;&lt;_volume&gt;99&lt;/_volume&gt;&lt;_created&gt;64289664&lt;/_created&gt;&lt;_modified&gt;64289669&lt;/_modified&gt;&lt;_db_updated&gt;PubMed&lt;/_db_updated&gt;&lt;_impact_factor&gt;  11.205&lt;/_impact_factor&gt;&lt;/Details&gt;&lt;Extra&gt;&lt;DBUID&gt;{80FCD0DE-45A7-4B42-9F5C-3A940A7F46F3}&lt;/DBUID&gt;&lt;/Extra&gt;&lt;/Item&gt;&lt;/References&gt;&lt;/Group&gt;&lt;/Citation&gt;_x000a_"/>
    <w:docVar w:name="NE.Ref{0CDA3215-E4AB-400A-B3BA-32B00E070F96}" w:val=" ADDIN NE.Ref.{0CDA3215-E4AB-400A-B3BA-32B00E070F96}&lt;Citation&gt;&lt;Group&gt;&lt;References&gt;&lt;Item&gt;&lt;ID&gt;850&lt;/ID&gt;&lt;UID&gt;{DD22F60A-A1EF-4271-BD7A-5577B9EAA618}&lt;/UID&gt;&lt;Title&gt;Specific carcinoembryonic antigens of the human digestive system&lt;/Title&gt;&lt;Template&gt;Journal Article&lt;/Template&gt;&lt;Star&gt;0&lt;/Star&gt;&lt;Tag&gt;0&lt;/Tag&gt;&lt;Author&gt;Gold, P; Freedman, S O&lt;/Author&gt;&lt;Year&gt;1965&lt;/Year&gt;&lt;Details&gt;&lt;_accession_num&gt;4953873&lt;/_accession_num&gt;&lt;_date_display&gt;1965 Sep 1&lt;/_date_display&gt;&lt;_date&gt;1965-09-01&lt;/_date&gt;&lt;_doi&gt;10.1084/jem.122.3.467&lt;/_doi&gt;&lt;_isbn&gt;0022-1007 (Print); 1540-9538 (Electronic); 0022-1007 (Linking)&lt;/_isbn&gt;&lt;_issue&gt;3&lt;/_issue&gt;&lt;_journal&gt;J Exp Med&lt;/_journal&gt;&lt;_language&gt;eng&lt;/_language&gt;&lt;_pages&gt;467-81&lt;/_pages&gt;&lt;_subject_headings&gt;*Antigens; Cell Differentiation; Colonic Neoplasms/*immunology; Enzyme Repression; Female; *Fetus; Gastrointestinal Neoplasms/*immunology; Humans; Immunodiffusion; *Intestines; *Liver; Molecular Biology; *Pancreas; Pregnancy; RNA, Messenger/biosynthesis&lt;/_subject_headings&gt;&lt;_tertiary_title&gt;The Journal of experimental medicine&lt;/_tertiary_title&gt;&lt;_type_work&gt;Journal Article&lt;/_type_work&gt;&lt;_url&gt;http://www.ncbi.nlm.nih.gov/entrez/query.fcgi?cmd=Retrieve&amp;amp;db=pubmed&amp;amp;dopt=Abstract&amp;amp;list_uids=4953873&amp;amp;query_hl=1&lt;/_url&gt;&lt;_volume&gt;122&lt;/_volume&gt;&lt;_created&gt;65012727&lt;/_created&gt;&lt;_modified&gt;65012727&lt;/_modified&gt;&lt;_db_updated&gt;PubMed&lt;/_db_updated&gt;&lt;_impact_factor&gt;  14.307&lt;/_impact_factor&gt;&lt;_collection_scope&gt;SCI;SCIE&lt;/_collection_scope&gt;&lt;/Details&gt;&lt;Extra&gt;&lt;DBUID&gt;{80FCD0DE-45A7-4B42-9F5C-3A940A7F46F3}&lt;/DBUID&gt;&lt;/Extra&gt;&lt;/Item&gt;&lt;/References&gt;&lt;/Group&gt;&lt;Group&gt;&lt;References&gt;&lt;Item&gt;&lt;ID&gt;849&lt;/ID&gt;&lt;UID&gt;{9A5A1EDE-F32D-4AC1-A7C3-D5137CA8B3BB}&lt;/UID&gt;&lt;Title&gt;CEACAMs: their role in physiology and pathophysiology&lt;/Title&gt;&lt;Template&gt;Journal Article&lt;/Template&gt;&lt;Star&gt;0&lt;/Star&gt;&lt;Tag&gt;0&lt;/Tag&gt;&lt;Author&gt;Kuespert, K; Pils, S; Hauck, C R&lt;/Author&gt;&lt;Year&gt;2006&lt;/Year&gt;&lt;Details&gt;&lt;_accession_num&gt;16919437&lt;/_accession_num&gt;&lt;_author_adr&gt;Lehrstuhl Zellbiologie, Fachbereich Biologie X908, Universitat Konstanz,  Universitatsstrasse 10, 78457 Konstanz, Germany.&lt;/_author_adr&gt;&lt;_date_display&gt;2006 Oct&lt;/_date_display&gt;&lt;_date&gt;2006-10-01&lt;/_date&gt;&lt;_doi&gt;10.1016/j.ceb.2006.08.008&lt;/_doi&gt;&lt;_isbn&gt;0955-0674 (Print); 1879-0410 (Electronic); 0955-0674 (Linking)&lt;/_isbn&gt;&lt;_issue&gt;5&lt;/_issue&gt;&lt;_journal&gt;Curr Opin Cell Biol&lt;/_journal&gt;&lt;_language&gt;eng&lt;/_language&gt;&lt;_pages&gt;565-71&lt;/_pages&gt;&lt;_subject_headings&gt;Animals; Animals, Genetically Modified; Antigens, CD/genetics/*metabolism; Bacteria/pathogenicity; Carcinoembryonic Antigen/metabolism; Cell Adhesion Molecules/genetics/*metabolism; Evolution, Molecular; Humans; Insulin/metabolism; Neoplasms/metabolism/pathology; Neovascularization, Physiologic; Protein Isoforms/genetics/*metabolism; Viruses/pathogenicity&lt;/_subject_headings&gt;&lt;_tertiary_title&gt;Current opinion in cell biology&lt;/_tertiary_title&gt;&lt;_type_work&gt;Journal Article; Research Support, Non-U.S. Gov&amp;apos;t; Review&lt;/_type_work&gt;&lt;_url&gt;http://www.ncbi.nlm.nih.gov/entrez/query.fcgi?cmd=Retrieve&amp;amp;db=pubmed&amp;amp;dopt=Abstract&amp;amp;list_uids=16919437&amp;amp;query_hl=1&lt;/_url&gt;&lt;_volume&gt;18&lt;/_volume&gt;&lt;_created&gt;65011438&lt;/_created&gt;&lt;_modified&gt;65011439&lt;/_modified&gt;&lt;_db_updated&gt;PubMed&lt;/_db_updated&gt;&lt;_impact_factor&gt;   8.382&lt;/_impact_factor&gt;&lt;_collection_scope&gt;SCI;SCIE&lt;/_collection_scope&gt;&lt;/Details&gt;&lt;Extra&gt;&lt;DBUID&gt;{80FCD0DE-45A7-4B42-9F5C-3A940A7F46F3}&lt;/DBUID&gt;&lt;/Extra&gt;&lt;/Item&gt;&lt;/References&gt;&lt;/Group&gt;&lt;/Citation&gt;_x000a_"/>
    <w:docVar w:name="NE.Ref{0E5818BC-A582-4065-B556-D3CAF264F4E1}" w:val=" ADDIN NE.Ref.{0E5818BC-A582-4065-B556-D3CAF264F4E1}&lt;Citation&gt;&lt;Group&gt;&lt;References&gt;&lt;Item&gt;&lt;ID&gt;863&lt;/ID&gt;&lt;UID&gt;{9970DE23-5C93-440D-9F09-C7EEC114D1E5}&lt;/UID&gt;&lt;Title&gt;Localization and concentration of carcinoembryonic antigen (CEA) in  gastrointestinal tumors: correlation with CEA levels in plasma&lt;/Title&gt;&lt;Template&gt;Journal Article&lt;/Template&gt;&lt;Star&gt;0&lt;/Star&gt;&lt;Tag&gt;0&lt;/Tag&gt;&lt;Author&gt;Wagener, C; Muller-Wallraf, R; Nisson, S; Groner, J; Breuer, H&lt;/Author&gt;&lt;Year&gt;1981&lt;/Year&gt;&lt;Details&gt;&lt;_accession_num&gt;6944526&lt;/_accession_num&gt;&lt;_created&gt;65017199&lt;/_created&gt;&lt;_date&gt;1981-09-01&lt;/_date&gt;&lt;_date_display&gt;1981 Sep&lt;/_date_display&gt;&lt;_db_updated&gt;PubMed&lt;/_db_updated&gt;&lt;_impact_factor&gt;  13.506&lt;/_impact_factor&gt;&lt;_isbn&gt;0027-8874 (Print); 0027-8874 (Linking)&lt;/_isbn&gt;&lt;_issue&gt;3&lt;/_issue&gt;&lt;_journal&gt;J Natl Cancer Inst&lt;/_journal&gt;&lt;_language&gt;eng&lt;/_language&gt;&lt;_modified&gt;65017200&lt;/_modified&gt;&lt;_pages&gt;539-47&lt;/_pages&gt;&lt;_subject_headings&gt;Carcinoembryonic Antigen/*metabolism; Carcinoma/*immunology; Gastrointestinal Neoplasms/blood/*immunology/pathology/surgery; Humans; Necrosis; Neoplasm Metastasis&lt;/_subject_headings&gt;&lt;_tertiary_title&gt;Journal of the National Cancer Institute&lt;/_tertiary_title&gt;&lt;_type_work&gt;Journal Article&lt;/_type_work&gt;&lt;_url&gt;http://www.ncbi.nlm.nih.gov/entrez/query.fcgi?cmd=Retrieve&amp;amp;db=pubmed&amp;amp;dopt=Abstract&amp;amp;list_uids=6944526&amp;amp;query_hl=1&lt;/_url&gt;&lt;_volume&gt;67&lt;/_volume&gt;&lt;/Details&gt;&lt;Extra&gt;&lt;DBUID&gt;{80FCD0DE-45A7-4B42-9F5C-3A940A7F46F3}&lt;/DBUID&gt;&lt;/Extra&gt;&lt;/Item&gt;&lt;/References&gt;&lt;/Group&gt;&lt;/Citation&gt;_x000a_"/>
    <w:docVar w:name="NE.Ref{0F54C0F0-D4F6-4701-A9FB-5BCAB264901E}" w:val=" ADDIN NE.Ref.{0F54C0F0-D4F6-4701-A9FB-5BCAB264901E}&lt;Citation&gt;&lt;Group&gt;&lt;References&gt;&lt;Item&gt;&lt;ID&gt;194&lt;/ID&gt;&lt;UID&gt;{D919F295-722B-4CB4-917F-C76A40353B33}&lt;/UID&gt;&lt;Title&gt;Dihydrofolate reductase protects endothelial nitric oxide synthase from uncoupling in tetrahydrobiopterin deficiency&lt;/Title&gt;&lt;Template&gt;Journal Article&lt;/Template&gt;&lt;Star&gt;0&lt;/Star&gt;&lt;Tag&gt;0&lt;/Tag&gt;&lt;Author&gt;Crabtree, M J; Hale, A B; Channon, K M&lt;/Author&gt;&lt;Year&gt;2011&lt;/Year&gt;&lt;Details&gt;&lt;_accession_num&gt;21402147&lt;/_accession_num&gt;&lt;_author_adr&gt;Department of Cardiovascular Medicine, University of Oxford, John Radcliffe Hospital, Oxford OX3 9DU, UK. mark.crabtree@well.ox.ac.uk&lt;/_author_adr&gt;&lt;_date_display&gt;2011 Jun 1&lt;/_date_display&gt;&lt;_date&gt;2011-06-01&lt;/_date&gt;&lt;_doi&gt;10.1016/j.freeradbiomed.2011.03.010&lt;/_doi&gt;&lt;_isbn&gt;1873-4596 (Electronic); 0891-5849 (Linking)&lt;/_isbn&gt;&lt;_issue&gt;11&lt;/_issue&gt;&lt;_journal&gt;Free Radic Biol Med&lt;/_journal&gt;&lt;_language&gt;eng&lt;/_language&gt;&lt;_ori_publication&gt;Copyright (c) 2011 Elsevier Inc. All rights reserved.&lt;/_ori_publication&gt;&lt;_pages&gt;1639-46&lt;/_pages&gt;&lt;_subject_headings&gt;Animals; Biopterin/*analogs &amp;amp; derivatives/metabolism; Endothelium/*metabolism/pathology; Methotrexate/administration &amp;amp; dosage; Mice; Mice, Inbred C57BL; Mice, Knockout; Mice, Transgenic; Nitric Oxide Synthase/chemistry/genetics/*metabolism; Oxidation-Reduction/drug effects; *Oxidative Coupling/drug effects; RNA, Small Interfering/genetics; Tetrahydrofolate Dehydrogenase/chemistry/genetics/*metabolism; Transgenes/genetics&lt;/_subject_headings&gt;&lt;_tertiary_title&gt;Free radical biology &amp;amp; medicine&lt;/_tertiary_title&gt;&lt;_type_work&gt;Journal Article; Research Support, Non-U.S. Gov&amp;apos;t&lt;/_type_work&gt;&lt;_url&gt;http://www.ncbi.nlm.nih.gov/entrez/query.fcgi?cmd=Retrieve&amp;amp;db=pubmed&amp;amp;dopt=Abstract&amp;amp;list_uids=21402147&amp;amp;query_hl=1&lt;/_url&gt;&lt;_volume&gt;50&lt;/_volume&gt;&lt;_created&gt;64284090&lt;/_created&gt;&lt;_modified&gt;64284090&lt;/_modified&gt;&lt;_db_updated&gt;PubMed&lt;/_db_updated&gt;&lt;_impact_factor&gt;   7.376&lt;/_impact_factor&gt;&lt;/Details&gt;&lt;Extra&gt;&lt;DBUID&gt;{80FCD0DE-45A7-4B42-9F5C-3A940A7F46F3}&lt;/DBUID&gt;&lt;/Extra&gt;&lt;/Item&gt;&lt;/References&gt;&lt;/Group&gt;&lt;/Citation&gt;_x000a_"/>
    <w:docVar w:name="NE.Ref{12F7074F-60FB-46F9-A05E-5097C880B1B2}" w:val=" ADDIN NE.Ref.{12F7074F-60FB-46F9-A05E-5097C880B1B2}&lt;Citation&gt;&lt;Group&gt;&lt;References&gt;&lt;Item&gt;&lt;ID&gt;913&lt;/ID&gt;&lt;UID&gt;{76E33E04-C961-47C1-89AB-A25029453FF8}&lt;/UID&gt;&lt;Title&gt;CEACAM1: contact-dependent control of immunity&lt;/Title&gt;&lt;Template&gt;Journal Article&lt;/Template&gt;&lt;Star&gt;0&lt;/Star&gt;&lt;Tag&gt;0&lt;/Tag&gt;&lt;Author&gt;Gray-Owen, S D; Blumberg, R S&lt;/Author&gt;&lt;Year&gt;2006&lt;/Year&gt;&lt;Details&gt;&lt;_accession_num&gt;16724098&lt;/_accession_num&gt;&lt;_author_adr&gt;Department of Medical Genetics and Microbiology, University of Toronto, Toronto,  Ontario, M5S 1A8, Canada. scott.gray.owen@utoronto.ca&lt;/_author_adr&gt;&lt;_date_display&gt;2006 Jun&lt;/_date_display&gt;&lt;_date&gt;2006-06-01&lt;/_date&gt;&lt;_doi&gt;10.1038/nri1864&lt;/_doi&gt;&lt;_isbn&gt;1474-1733 (Print); 1474-1733 (Linking)&lt;/_isbn&gt;&lt;_issue&gt;6&lt;/_issue&gt;&lt;_journal&gt;Nat Rev Immunol&lt;/_journal&gt;&lt;_language&gt;eng&lt;/_language&gt;&lt;_pages&gt;433-46&lt;/_pages&gt;&lt;_subject_headings&gt;Animals; Antigens, CD/biosynthesis/chemistry/*physiology; Cell Adhesion Molecules/biosynthesis/chemistry/*physiology; Cell Communication/*immunology; Humans; *Immunity, Cellular; Lymphoid Tissue/cytology/*immunology/metabolism/pathology; Myeloid Cells/cytology/*immunology/metabolism/pathology&lt;/_subject_headings&gt;&lt;_tertiary_title&gt;Nature reviews. Immunology&lt;/_tertiary_title&gt;&lt;_type_work&gt;Journal Article; Research Support, N.I.H., Extramural; Research Support, Non-U.S. Gov&amp;apos;t; Research Support, U.S. Gov&amp;apos;t, Non-P.H.S.; Review&lt;/_type_work&gt;&lt;_url&gt;http://www.ncbi.nlm.nih.gov/entrez/query.fcgi?cmd=Retrieve&amp;amp;db=pubmed&amp;amp;dopt=Abstract&amp;amp;list_uids=16724098&amp;amp;query_hl=1&lt;/_url&gt;&lt;_volume&gt;6&lt;/_volume&gt;&lt;_created&gt;65038658&lt;/_created&gt;&lt;_modified&gt;65038658&lt;/_modified&gt;&lt;_db_updated&gt;PubMed&lt;/_db_updated&gt;&lt;_impact_factor&gt;  53.106&lt;/_impact_factor&gt;&lt;_collection_scope&gt;SCI;SCIE&lt;/_collection_scope&gt;&lt;/Details&gt;&lt;Extra&gt;&lt;DBUID&gt;{80FCD0DE-45A7-4B42-9F5C-3A940A7F46F3}&lt;/DBUID&gt;&lt;/Extra&gt;&lt;/Item&gt;&lt;/References&gt;&lt;/Group&gt;&lt;/Citation&gt;_x000a_"/>
    <w:docVar w:name="NE.Ref{186A7C0B-2089-48A7-93A8-1BFC7A026891}" w:val=" ADDIN NE.Ref.{186A7C0B-2089-48A7-93A8-1BFC7A026891}&lt;Citation&gt;&lt;Group&gt;&lt;References&gt;&lt;Item&gt;&lt;ID&gt;825&lt;/ID&gt;&lt;UID&gt;{C3D77C15-4CEF-4C55-8034-DF27BC14D877}&lt;/UID&gt;&lt;Title&gt;Optimizing immunotherapy for colorectal cancer&lt;/Title&gt;&lt;Template&gt;Journal Article&lt;/Template&gt;&lt;Star&gt;0&lt;/Star&gt;&lt;Tag&gt;0&lt;/Tag&gt;&lt;Author&gt;Ganesh, K&lt;/Author&gt;&lt;Year&gt;2022&lt;/Year&gt;&lt;Details&gt;&lt;_accession_num&gt;34907331&lt;/_accession_num&gt;&lt;_author_adr&gt;Molecular Pharmacology Program, Sloan Kettering Institute and Gastrointestinal  Oncology Service, Memorial Hospital, Memorial Sloan Kettering Cancer Center, New  York, NY, USA. ganeshk@mskcc.org.&lt;/_author_adr&gt;&lt;_created&gt;64857167&lt;/_created&gt;&lt;_date&gt;2022-02-01&lt;/_date&gt;&lt;_date_display&gt;2022 Feb&lt;/_date_display&gt;&lt;_db_updated&gt;PubMed&lt;/_db_updated&gt;&lt;_doi&gt;10.1038/s41575-021-00569-4&lt;/_doi&gt;&lt;_impact_factor&gt;  46.802&lt;/_impact_factor&gt;&lt;_isbn&gt;1759-5053 (Electronic); 1759-5045 (Print); 1759-5045 (Linking)&lt;/_isbn&gt;&lt;_issue&gt;2&lt;/_issue&gt;&lt;_journal&gt;Nat Rev Gastroenterol Hepatol&lt;/_journal&gt;&lt;_language&gt;eng&lt;/_language&gt;&lt;_modified&gt;64857167&lt;/_modified&gt;&lt;_pages&gt;93-94&lt;/_pages&gt;&lt;_subject_headings&gt;Antibodies, Monoclonal, Humanized/therapeutic use; Antineoplastic Agents, Immunological/therapeutic use; Colorectal Neoplasms/immunology/pathology/*therapy; Humans; *Immunotherapy; Tumor Microenvironment/*physiology&lt;/_subject_headings&gt;&lt;_tertiary_title&gt;Nature reviews. Gastroenterology &amp;amp; hepatology&lt;/_tertiary_title&gt;&lt;_type_work&gt;Journal Article; Research Support, N.I.H., Extramural; Research Support, Non-U.S. Gov&amp;apos;t; Review&lt;/_type_work&gt;&lt;_url&gt;http://www.ncbi.nlm.nih.gov/entrez/query.fcgi?cmd=Retrieve&amp;amp;db=pubmed&amp;amp;dopt=Abstract&amp;amp;list_uids=34907331&amp;amp;query_hl=1&lt;/_url&gt;&lt;_volume&gt;19&lt;/_volume&gt;&lt;/Details&gt;&lt;Extra&gt;&lt;DBUID&gt;{80FCD0DE-45A7-4B42-9F5C-3A940A7F46F3}&lt;/DBUID&gt;&lt;/Extra&gt;&lt;/Item&gt;&lt;/References&gt;&lt;/Group&gt;&lt;/Citation&gt;_x000a_"/>
    <w:docVar w:name="NE.Ref{18A00F10-C6F3-4119-8319-23C2715E551B}" w:val=" ADDIN NE.Ref.{18A00F10-C6F3-4119-8319-23C2715E551B}&lt;Citation&gt;&lt;Group&gt;&lt;References&gt;&lt;Item&gt;&lt;ID&gt;856&lt;/ID&gt;&lt;UID&gt;{115D4B42-BB42-45E9-AACF-A724CDC223FA}&lt;/UID&gt;&lt;Title&gt;The role of tissue and serum carcinoembryonic antigen in stages I to III of  colorectal cancer-A retrospective cohort study&lt;/Title&gt;&lt;Template&gt;Journal Article&lt;/Template&gt;&lt;Star&gt;0&lt;/Star&gt;&lt;Tag&gt;0&lt;/Tag&gt;&lt;Author&gt;Tong, G; Xu, W; Zhang, G; Liu, J; Zheng, Z; Chen, Y; Niu, P; Xu, X&lt;/Author&gt;&lt;Year&gt;2018&lt;/Year&gt;&lt;Details&gt;&lt;_accession_num&gt;30302946&lt;/_accession_num&gt;&lt;_author_adr&gt;Department of Colorectal Surgery, Huzhou Central Hospital, Zhejiang, China.; Central Laboratory, Huzhou Central Hospital, Zhejiang, China.; Pathological Department, Huzhou Central Hospital, Zhejiang, China.; Department of Colorectal Surgery, Huzhou Central Hospital, Zhejiang, China.; Department of Colorectal Surgery, Huzhou Central Hospital, Zhejiang, China.; Department of Colorectal Surgery, Huzhou Central Hospital, Zhejiang, China.; Department of Colorectal Surgery, Huzhou Central Hospital, Zhejiang, China.; Central Laboratory, Huzhou Central Hospital, Zhejiang, China.; Central Laboratory, Huzhou Central Hospital, Zhejiang, China.&lt;/_author_adr&gt;&lt;_created&gt;65012879&lt;/_created&gt;&lt;_date&gt;2018-11-01&lt;/_date&gt;&lt;_date_display&gt;2018 Nov&lt;/_date_display&gt;&lt;_db_updated&gt;PubMed&lt;/_db_updated&gt;&lt;_doi&gt;10.1002/cam4.1814&lt;/_doi&gt;&lt;_impact_factor&gt;   4.452&lt;/_impact_factor&gt;&lt;_isbn&gt;2045-7634 (Electronic); 2045-7634 (Linking)&lt;/_isbn&gt;&lt;_issue&gt;11&lt;/_issue&gt;&lt;_journal&gt;Cancer Med&lt;/_journal&gt;&lt;_keywords&gt;carcinoembryonic antigen; colorectal carcinoma; prognosis&lt;/_keywords&gt;&lt;_language&gt;eng&lt;/_language&gt;&lt;_modified&gt;65012879&lt;/_modified&gt;&lt;_ori_publication&gt;(c) 2018 The Authors. Cancer Medicine published by John Wiley &amp;amp; Sons Ltd.&lt;/_ori_publication&gt;&lt;_pages&gt;5327-5338&lt;/_pages&gt;&lt;_subject_headings&gt;Adolescent; Adult; Aged; Aged, 80 and over; Carcinoembryonic Antigen/*blood/*metabolism; Colorectal Neoplasms/*blood/*metabolism/pathology; Female; Humans; Kaplan-Meier Estimate; Male; Middle Aged; Neoplasm Staging; Prognosis; Retrospective Studies; Young Adult&lt;/_subject_headings&gt;&lt;_tertiary_title&gt;Cancer medicine&lt;/_tertiary_title&gt;&lt;_type_work&gt;Journal Article; Research Support, Non-U.S. Gov&amp;apos;t&lt;/_type_work&gt;&lt;_url&gt;http://www.ncbi.nlm.nih.gov/entrez/query.fcgi?cmd=Retrieve&amp;amp;db=pubmed&amp;amp;dopt=Abstract&amp;amp;list_uids=30302946&amp;amp;query_hl=1&lt;/_url&gt;&lt;_volume&gt;7&lt;/_volume&gt;&lt;/Details&gt;&lt;Extra&gt;&lt;DBUID&gt;{80FCD0DE-45A7-4B42-9F5C-3A940A7F46F3}&lt;/DBUID&gt;&lt;/Extra&gt;&lt;/Item&gt;&lt;/References&gt;&lt;/Group&gt;&lt;Group&gt;&lt;References&gt;&lt;Item&gt;&lt;ID&gt;861&lt;/ID&gt;&lt;UID&gt;{AB3164DB-A008-4E2F-B09C-06C0E3673AB4}&lt;/UID&gt;&lt;Title&gt;Relation between Carcinoembryonic Antigen Levels in Colon Cancer Tissue and Serum  Carcinoembryonic Antigen Levels at Initial Surgery and Recurrence&lt;/Title&gt;&lt;Template&gt;Journal Article&lt;/Template&gt;&lt;Star&gt;0&lt;/Star&gt;&lt;Tag&gt;0&lt;/Tag&gt;&lt;Author&gt;Saito, G; Sadahiro, S; Okada, K; Tanaka, A; Suzuki, T; Kamijo, A&lt;/Author&gt;&lt;Year&gt;2016&lt;/Year&gt;&lt;Details&gt;&lt;_accession_num&gt;27260164&lt;/_accession_num&gt;&lt;_author_adr&gt;Department of Surgery, Tokai University School of Medicine, Kanagawa, Japan.&lt;/_author_adr&gt;&lt;_created&gt;65017137&lt;/_created&gt;&lt;_date&gt;2016-01-20&lt;/_date&gt;&lt;_date_display&gt;2016&lt;/_date_display&gt;&lt;_db_updated&gt;PubMed&lt;/_db_updated&gt;&lt;_doi&gt;10.1159/000447062&lt;/_doi&gt;&lt;_impact_factor&gt;   2.935&lt;/_impact_factor&gt;&lt;_isbn&gt;1423-0232 (Electronic); 0030-2414 (Linking)&lt;/_isbn&gt;&lt;_issue&gt;2&lt;/_issue&gt;&lt;_journal&gt;Oncology&lt;/_journal&gt;&lt;_language&gt;eng&lt;/_language&gt;&lt;_modified&gt;65017141&lt;/_modified&gt;&lt;_ori_publication&gt;(c) 2016 The Author(s) Published by S. Karger AG, Basel.&lt;/_ori_publication&gt;&lt;_pages&gt;85-9&lt;/_pages&gt;&lt;_subject_headings&gt;Aged; Carcinoembryonic Antigen/*analysis/blood; Colonic Neoplasms/*blood/*chemistry/pathology/surgery; Female; Humans; Male; Middle Aged; Neoplasm Metastasis; Neoplasm Recurrence, Local/*blood/*chemistry; Survival Rate; Tumor Microenvironment&lt;/_subject_headings&gt;&lt;_tertiary_title&gt;Oncology&lt;/_tertiary_title&gt;&lt;_type_work&gt;Journal Article&lt;/_type_work&gt;&lt;_url&gt;http://www.ncbi.nlm.nih.gov/entrez/query.fcgi?cmd=Retrieve&amp;amp;db=pubmed&amp;amp;dopt=Abstract&amp;amp;list_uids=27260164&amp;amp;query_hl=1&lt;/_url&gt;&lt;_volume&gt;91&lt;/_volume&gt;&lt;/Details&gt;&lt;Extra&gt;&lt;DBUID&gt;{80FCD0DE-45A7-4B42-9F5C-3A940A7F46F3}&lt;/DBUID&gt;&lt;/Extra&gt;&lt;/Item&gt;&lt;/References&gt;&lt;/Group&gt;&lt;/Citation&gt;_x000a_"/>
    <w:docVar w:name="NE.Ref{191FD33E-1C14-493B-BB04-4B2DF921329F}" w:val=" ADDIN NE.Ref.{191FD33E-1C14-493B-BB04-4B2DF921329F}&lt;Citation&gt;&lt;Group&gt;&lt;References&gt;&lt;Item&gt;&lt;ID&gt;867&lt;/ID&gt;&lt;UID&gt;{0EA8AE26-F1AF-4314-8404-812D53876F7C}&lt;/UID&gt;&lt;Title&gt;Threshold Change in CEA as a Predictor of Non-Progression to First-Line Systemic  Therapy in Metastatic Colorectal Cancer Patients With Elevated CEA&lt;/Title&gt;&lt;Template&gt;Journal Article&lt;/Template&gt;&lt;Star&gt;0&lt;/Star&gt;&lt;Tag&gt;0&lt;/Tag&gt;&lt;Author&gt;Gulhati, P; Yin, J; Pederson, L; Schmoll, H J; Hoff, P; Douillard, J Y; Hecht, J R; Tournigand, C; Tebbut, N; Chibaudel, B; Gramont, A; Shi, Q; Overman, M J&lt;/Author&gt;&lt;Year&gt;2020&lt;/Year&gt;&lt;Details&gt;&lt;_accession_num&gt;32191317&lt;/_accession_num&gt;&lt;_author_adr&gt;Department of Medical Oncology, Cancer Institute of New Jersey, Rutgers  University, New Brunswick, NJ, USA.; Department of Health Science Research, Mayo Clinic, Rochester, MN, USA.; Department of Health Science Research, Mayo Clinic, Rochester, MN, USA.; Klinik fur Innere Med IV, University Clinic Halle, Halle, Germany.; Centro de Oncologia de Brasilia do Sirio Libanes-Unidade Lago Sul, Sao Paulo,  Brazil.; Integrated Centres for Oncology, Department of Medical Oncology, St-Herblain,  France.; David Geffen School of Medicine, University of California Los Angeles, Los  Angeles, CA, USA.; Hospital Henri Mondor, Paris, France.; Department of Oncology, Olivia Newton John Cancer Research Institute, Heidelberg,  VIC, Australia.; Franco-British Institute, Levallois-Peret, France.; Hospital Saint-Antoine, Paris, France.; Department of Health Science Research, Mayo Clinic, Rochester, MN, USA.; Division of Cancer Medicine, Department of Gastrointestinal Medical Oncology, The  University of Texas MD Anderson Cancer Center, Houston, TX, USA.&lt;/_author_adr&gt;&lt;_created&gt;65019706&lt;/_created&gt;&lt;_date&gt;2020-11-01&lt;/_date&gt;&lt;_date_display&gt;2020 Nov 1&lt;/_date_display&gt;&lt;_db_updated&gt;PubMed&lt;/_db_updated&gt;&lt;_doi&gt;10.1093/jnci/djaa020&lt;/_doi&gt;&lt;_impact_factor&gt;  13.506&lt;/_impact_factor&gt;&lt;_isbn&gt;1460-2105 (Electronic); 0027-8874 (Print); 0027-8874 (Linking)&lt;/_isbn&gt;&lt;_issue&gt;11&lt;/_issue&gt;&lt;_journal&gt;J Natl Cancer Inst&lt;/_journal&gt;&lt;_language&gt;eng&lt;/_language&gt;&lt;_modified&gt;65019706&lt;/_modified&gt;&lt;_ori_publication&gt;(c) The Author(s) 2020. Published by Oxford University Press. All rights reserved. _x000d__x000a_      For permissions, please email: journals.permissions@oup.com.&lt;/_ori_publication&gt;&lt;_pages&gt;1127-1136&lt;/_pages&gt;&lt;_subject_headings&gt;Adult; Aged; Aged, 80 and over; Carcinoembryonic Antigen/*blood; Colorectal Neoplasms/*blood/drug therapy/pathology/*therapy; Disease Progression; Female; Humans; Male; Middle Aged; Neoplasm Metastasis; Neoplasm Staging; Predictive Value of Tests; ROC Curve; Randomized Controlled Trials as Topic&lt;/_subject_headings&gt;&lt;_tertiary_title&gt;Journal of the National Cancer Institute&lt;/_tertiary_title&gt;&lt;_type_work&gt;Journal Article; Research Support, Non-U.S. Gov&amp;apos;t&lt;/_type_work&gt;&lt;_url&gt;http://www.ncbi.nlm.nih.gov/entrez/query.fcgi?cmd=Retrieve&amp;amp;db=pubmed&amp;amp;dopt=Abstract&amp;amp;list_uids=32191317&amp;amp;query_hl=1&lt;/_url&gt;&lt;_volume&gt;112&lt;/_volume&gt;&lt;/Details&gt;&lt;Extra&gt;&lt;DBUID&gt;{80FCD0DE-45A7-4B42-9F5C-3A940A7F46F3}&lt;/DBUID&gt;&lt;/Extra&gt;&lt;/Item&gt;&lt;/References&gt;&lt;/Group&gt;&lt;/Citation&gt;_x000a_"/>
    <w:docVar w:name="NE.Ref{195F720C-830C-4C35-8AD2-ADB57CA9FF83}" w:val=" ADDIN NE.Ref.{195F720C-830C-4C35-8AD2-ADB57CA9FF83}&lt;Citation&gt;&lt;Group&gt;&lt;References&gt;&lt;Item&gt;&lt;ID&gt;205&lt;/ID&gt;&lt;UID&gt;{C8BB06A0-D7E5-4022-AFD2-3C42CCBA3E80}&lt;/UID&gt;&lt;Title&gt;The global burden of IBD: from 2015 to 2025&lt;/Title&gt;&lt;Template&gt;Journal Article&lt;/Template&gt;&lt;Star&gt;0&lt;/Star&gt;&lt;Tag&gt;0&lt;/Tag&gt;&lt;Author&gt;Kaplan, G G&lt;/Author&gt;&lt;Year&gt;2015&lt;/Year&gt;&lt;Details&gt;&lt;_accession_num&gt;26323879&lt;/_accession_num&gt;&lt;_author_adr&gt;Departments of Medicine and Community Health Sciences, University of Calgary, 3280 Hospital Drive NW, 6D56 Calgary, AB, Canada T2N 4Z6.&lt;/_author_adr&gt;&lt;_date_display&gt;2015 Dec&lt;/_date_display&gt;&lt;_date&gt;2015-12-01&lt;/_date&gt;&lt;_doi&gt;10.1038/nrgastro.2015.150&lt;/_doi&gt;&lt;_isbn&gt;1759-5053 (Electronic); 1759-5045 (Linking)&lt;/_isbn&gt;&lt;_issue&gt;12&lt;/_issue&gt;&lt;_journal&gt;Nat Rev Gastroenterol Hepatol&lt;/_journal&gt;&lt;_language&gt;eng&lt;/_language&gt;&lt;_pages&gt;720-7&lt;/_pages&gt;&lt;_subject_headings&gt;*Cost of Illness; Environmental Exposure; Environmental Monitoring; Humans; Inflammatory Bowel Diseases/economics/*epidemiology/genetics&lt;/_subject_headings&gt;&lt;_tertiary_title&gt;Nature reviews. Gastroenterology &amp;amp; hepatology&lt;/_tertiary_title&gt;&lt;_type_work&gt;Journal Article; Research Support, Non-U.S. Gov&amp;apos;t; Review&lt;/_type_work&gt;&lt;_url&gt;http://www.ncbi.nlm.nih.gov/entrez/query.fcgi?cmd=Retrieve&amp;amp;db=pubmed&amp;amp;dopt=Abstract&amp;amp;list_uids=26323879&amp;amp;query_hl=1&lt;/_url&gt;&lt;_volume&gt;12&lt;/_volume&gt;&lt;_created&gt;64289608&lt;/_created&gt;&lt;_modified&gt;64289608&lt;/_modified&gt;&lt;_db_updated&gt;PubMed&lt;/_db_updated&gt;&lt;_impact_factor&gt;  46.802&lt;/_impact_factor&gt;&lt;/Details&gt;&lt;Extra&gt;&lt;DBUID&gt;{80FCD0DE-45A7-4B42-9F5C-3A940A7F46F3}&lt;/DBUID&gt;&lt;/Extra&gt;&lt;/Item&gt;&lt;/References&gt;&lt;/Group&gt;&lt;/Citation&gt;_x000a_"/>
    <w:docVar w:name="NE.Ref{1CB898EB-7E6E-4E5E-B8C7-6D5EA0870C16}" w:val=" ADDIN NE.Ref.{1CB898EB-7E6E-4E5E-B8C7-6D5EA0870C16}&lt;Citation&gt;&lt;Group&gt;&lt;References&gt;&lt;Item&gt;&lt;ID&gt;856&lt;/ID&gt;&lt;UID&gt;{115D4B42-BB42-45E9-AACF-A724CDC223FA}&lt;/UID&gt;&lt;Title&gt;The role of tissue and serum carcinoembryonic antigen in stages I to III of  colorectal cancer-A retrospective cohort study&lt;/Title&gt;&lt;Template&gt;Journal Article&lt;/Template&gt;&lt;Star&gt;0&lt;/Star&gt;&lt;Tag&gt;0&lt;/Tag&gt;&lt;Author&gt;Tong, G; Xu, W; Zhang, G; Liu, J; Zheng, Z; Chen, Y; Niu, P; Xu, X&lt;/Author&gt;&lt;Year&gt;2018&lt;/Year&gt;&lt;Details&gt;&lt;_accession_num&gt;30302946&lt;/_accession_num&gt;&lt;_author_adr&gt;Department of Colorectal Surgery, Huzhou Central Hospital, Zhejiang, China.; Central Laboratory, Huzhou Central Hospital, Zhejiang, China.; Pathological Department, Huzhou Central Hospital, Zhejiang, China.; Department of Colorectal Surgery, Huzhou Central Hospital, Zhejiang, China.; Department of Colorectal Surgery, Huzhou Central Hospital, Zhejiang, China.; Department of Colorectal Surgery, Huzhou Central Hospital, Zhejiang, China.; Department of Colorectal Surgery, Huzhou Central Hospital, Zhejiang, China.; Central Laboratory, Huzhou Central Hospital, Zhejiang, China.; Central Laboratory, Huzhou Central Hospital, Zhejiang, China.&lt;/_author_adr&gt;&lt;_date_display&gt;2018 Nov&lt;/_date_display&gt;&lt;_date&gt;2018-11-01&lt;/_date&gt;&lt;_doi&gt;10.1002/cam4.1814&lt;/_doi&gt;&lt;_isbn&gt;2045-7634 (Electronic); 2045-7634 (Linking)&lt;/_isbn&gt;&lt;_issue&gt;11&lt;/_issue&gt;&lt;_journal&gt;Cancer Med&lt;/_journal&gt;&lt;_keywords&gt;carcinoembryonic antigen; colorectal carcinoma; prognosis&lt;/_keywords&gt;&lt;_language&gt;eng&lt;/_language&gt;&lt;_ori_publication&gt;(c) 2018 The Authors. Cancer Medicine published by John Wiley &amp;amp; Sons Ltd.&lt;/_ori_publication&gt;&lt;_pages&gt;5327-5338&lt;/_pages&gt;&lt;_subject_headings&gt;Adolescent; Adult; Aged; Aged, 80 and over; Carcinoembryonic Antigen/*blood/*metabolism; Colorectal Neoplasms/*blood/*metabolism/pathology; Female; Humans; Kaplan-Meier Estimate; Male; Middle Aged; Neoplasm Staging; Prognosis; Retrospective Studies; Young Adult&lt;/_subject_headings&gt;&lt;_tertiary_title&gt;Cancer medicine&lt;/_tertiary_title&gt;&lt;_type_work&gt;Journal Article; Research Support, Non-U.S. Gov&amp;apos;t&lt;/_type_work&gt;&lt;_url&gt;http://www.ncbi.nlm.nih.gov/entrez/query.fcgi?cmd=Retrieve&amp;amp;db=pubmed&amp;amp;dopt=Abstract&amp;amp;list_uids=30302946&amp;amp;query_hl=1&lt;/_url&gt;&lt;_volume&gt;7&lt;/_volume&gt;&lt;_created&gt;65012879&lt;/_created&gt;&lt;_modified&gt;65012879&lt;/_modified&gt;&lt;_db_updated&gt;PubMed&lt;/_db_updated&gt;&lt;_impact_factor&gt;   4.452&lt;/_impact_factor&gt;&lt;/Details&gt;&lt;Extra&gt;&lt;DBUID&gt;{80FCD0DE-45A7-4B42-9F5C-3A940A7F46F3}&lt;/DBUID&gt;&lt;/Extra&gt;&lt;/Item&gt;&lt;/References&gt;&lt;/Group&gt;&lt;/Citation&gt;_x000a_"/>
    <w:docVar w:name="NE.Ref{2234B97B-D95D-46B7-AC09-3F9026588058}" w:val=" ADDIN NE.Ref.{2234B97B-D95D-46B7-AC09-3F9026588058}&lt;Citation&gt;&lt;Group&gt;&lt;References&gt;&lt;Item&gt;&lt;ID&gt;914&lt;/ID&gt;&lt;UID&gt;{99AAE90B-843F-4C7C-BF63-22CB46A7C55F}&lt;/UID&gt;&lt;Title&gt;Carcinoembryonic antigen inhibits anoikis in colorectal carcinoma cells by  interfering with TRAIL-R2 (DR5) signaling&lt;/Title&gt;&lt;Template&gt;Journal Article&lt;/Template&gt;&lt;Star&gt;0&lt;/Star&gt;&lt;Tag&gt;0&lt;/Tag&gt;&lt;Author&gt;Samara, R N; Laguinge, L M; Jessup, J M&lt;/Author&gt;&lt;Year&gt;2007&lt;/Year&gt;&lt;Details&gt;&lt;_accession_num&gt;17510406&lt;/_accession_num&gt;&lt;_author_adr&gt;Department of Oncology, Georgetown University Medical Center, Washington,  District of Columbia 20057, USA.&lt;/_author_adr&gt;&lt;_collection_scope&gt;SCI;SCIE&lt;/_collection_scope&gt;&lt;_created&gt;65038751&lt;/_created&gt;&lt;_date&gt;2007-05-15&lt;/_date&gt;&lt;_date_display&gt;2007 May 15&lt;/_date_display&gt;&lt;_db_updated&gt;PubMed&lt;/_db_updated&gt;&lt;_doi&gt;10.1158/0008-5472.CAN-06-4315&lt;/_doi&gt;&lt;_impact_factor&gt;  12.701&lt;/_impact_factor&gt;&lt;_isbn&gt;0008-5472 (Print); 0008-5472 (Linking)&lt;/_isbn&gt;&lt;_issue&gt;10&lt;/_issue&gt;&lt;_journal&gt;Cancer Res&lt;/_journal&gt;&lt;_language&gt;eng&lt;/_language&gt;&lt;_modified&gt;65038751&lt;/_modified&gt;&lt;_pages&gt;4774-82&lt;/_pages&gt;&lt;_subject_headings&gt;Anoikis/*physiology; Carcinoembryonic Antigen/biosynthesis/genetics/*metabolism; Caspase 8/metabolism; Caspase Inhibitors; Cell Adhesion/physiology; Colorectal Neoplasms/metabolism/*pathology; HT29 Cells; Humans; Integrins/metabolism; Liver Neoplasms/genetics/metabolism/secondary; Peptide Fragments/genetics/metabolism; Protein Binding; Receptors, TNF-Related Apoptosis-Inducing Ligand/antagonists &amp;amp; _x000d__x000a_      inhibitors/*metabolism; Signal Transduction/physiology&lt;/_subject_headings&gt;&lt;_tertiary_title&gt;Cancer research&lt;/_tertiary_title&gt;&lt;_type_work&gt;Journal Article; Research Support, N.I.H., Extramural; Research Support, U.S. Gov&amp;apos;t, Non-P.H.S.&lt;/_type_work&gt;&lt;_url&gt;http://www.ncbi.nlm.nih.gov/entrez/query.fcgi?cmd=Retrieve&amp;amp;db=pubmed&amp;amp;dopt=Abstract&amp;amp;list_uids=17510406&amp;amp;query_hl=1&lt;/_url&gt;&lt;_volume&gt;67&lt;/_volume&gt;&lt;/Details&gt;&lt;Extra&gt;&lt;DBUID&gt;{80FCD0DE-45A7-4B42-9F5C-3A940A7F46F3}&lt;/DBUID&gt;&lt;/Extra&gt;&lt;/Item&gt;&lt;/References&gt;&lt;/Group&gt;&lt;Group&gt;&lt;References&gt;&lt;Item&gt;&lt;ID&gt;915&lt;/ID&gt;&lt;UID&gt;{6646277D-1013-4875-BF2F-A61C60E79290}&lt;/UID&gt;&lt;Title&gt;Carcinoembryonic antigen interacts with TGF-beta receptor and inhibits  TGF-beta signaling in colorectal cancers&lt;/Title&gt;&lt;Template&gt;Journal Article&lt;/Template&gt;&lt;Star&gt;0&lt;/Star&gt;&lt;Tag&gt;0&lt;/Tag&gt;&lt;Author&gt;Li, Y; Cao, H; Jiao, Z; Pakala, S B; Sirigiri, D N; Li, W; Kumar, R; Mishra, L&lt;/Author&gt;&lt;Year&gt;2010&lt;/Year&gt;&lt;Details&gt;&lt;_accession_num&gt;20889724&lt;/_accession_num&gt;&lt;_author_adr&gt;Department of Gastroenterology, Hepatology and Nutrition, M.D. Anderson Cancer  Center, The University of Texas, Houston, TX 77030, USA.&lt;/_author_adr&gt;&lt;_collection_scope&gt;SCI;SCIE&lt;/_collection_scope&gt;&lt;_created&gt;65038751&lt;/_created&gt;&lt;_date&gt;2010-10-15&lt;/_date&gt;&lt;_date_display&gt;2010 Oct 15&lt;/_date_display&gt;&lt;_db_updated&gt;PubMed&lt;/_db_updated&gt;&lt;_doi&gt;10.1158/0008-5472.CAN-10-1073&lt;/_doi&gt;&lt;_impact_factor&gt;  12.701&lt;/_impact_factor&gt;&lt;_isbn&gt;1538-7445 (Electronic); 0008-5472 (Print); 0008-5472 (Linking)&lt;/_isbn&gt;&lt;_issue&gt;20&lt;/_issue&gt;&lt;_journal&gt;Cancer Res&lt;/_journal&gt;&lt;_language&gt;eng&lt;/_language&gt;&lt;_modified&gt;65038758&lt;/_modified&gt;&lt;_pages&gt;8159-68&lt;/_pages&gt;&lt;_subject_headings&gt;Carcinoembryonic Antigen/*metabolism/*therapeutic use; Cell Division; Cell Line, Tumor; Colorectal Neoplasms/*drug therapy/pathology/physiopathology; DNA Primers; Genes, myc; Humans; Microsatellite Repeats/physiology; Microscopy, Confocal; Neoplasm Metastasis; Receptors, Transforming Growth Factor beta/genetics/*metabolism/*therapeutic use; Recombinant Proteins/metabolism; Reverse Transcriptase Polymerase Chain Reaction; Signal Transduction/*drug effects; Transforming Growth Factor beta/antagonists &amp;amp; inhibitors/genetics/physiology&lt;/_subject_headings&gt;&lt;_tertiary_title&gt;Cancer research&lt;/_tertiary_title&gt;&lt;_type_work&gt;Journal Article; Research Support, N.I.H., Extramural&lt;/_type_work&gt;&lt;_url&gt;http://www.ncbi.nlm.nih.gov/entrez/query.fcgi?cmd=Retrieve&amp;amp;db=pubmed&amp;amp;dopt=Abstract&amp;amp;list_uids=20889724&amp;amp;query_hl=1&lt;/_url&gt;&lt;_volume&gt;70&lt;/_volume&gt;&lt;/Details&gt;&lt;Extra&gt;&lt;DBUID&gt;{80FCD0DE-45A7-4B42-9F5C-3A940A7F46F3}&lt;/DBUID&gt;&lt;/Extra&gt;&lt;/Item&gt;&lt;/References&gt;&lt;/Group&gt;&lt;/Citation&gt;_x000a_"/>
    <w:docVar w:name="NE.Ref{35C6F386-E2AE-445E-9987-CCB88F23AC5F}" w:val=" ADDIN NE.Ref.{35C6F386-E2AE-445E-9987-CCB88F23AC5F}&lt;Citation&gt;&lt;Group&gt;&lt;References&gt;&lt;Item&gt;&lt;ID&gt;193&lt;/ID&gt;&lt;UID&gt;{FF2A0A1A-4410-4444-AB1C-0F5C49A1EFE4}&lt;/UID&gt;&lt;Title&gt;Antioxidant effect of acetyl-l-carnitine against cisplatin-induced cardiotoxicity&lt;/Title&gt;&lt;Template&gt;Journal Article&lt;/Template&gt;&lt;Star&gt;0&lt;/Star&gt;&lt;Tag&gt;0&lt;/Tag&gt;&lt;Author&gt;Bayrak, S; Aktas, S; Altun, Z; Cakir, Y; Tutuncu, M; Kum, Ozsengezer S; Yilmaz, O; Olgun, N&lt;/Author&gt;&lt;Year&gt;2020&lt;/Year&gt;&lt;Details&gt;&lt;_accession_num&gt;32865065&lt;/_accession_num&gt;&lt;_author_adr&gt;Dokuz Eylul University Institute of Oncology, Department of Clinical Oncology, Izmir, Turkey.; Dokuz Eylul University Institute of Oncology, Department of Basic Oncology, Izmir, Turkey.; Dokuz Eylul University Institute of Oncology, Department of Basic Oncology, Izmir, Turkey.; Dokuz Eylul University Institute of Oncology, Department of Basic Oncology, Izmir, Turkey.; Dokuz Eylul University Institute of Oncology, Department of Basic Oncology, Izmir, Turkey.; Dokuz Eylul University Institute of Oncology, Department of Basic Oncology, Izmir, Turkey.; Dokuz Eylul University, Department of Laboratory Animal Science, Izmir, Turkey.; Dokuz Eylul University Institute of Oncology, Department of Pediatric Oncology, Izmir, Turkey.&lt;/_author_adr&gt;&lt;_date_display&gt;2020 Aug&lt;/_date_display&gt;&lt;_date&gt;2020-08-01&lt;/_date&gt;&lt;_doi&gt;10.1177/0300060520951393&lt;/_doi&gt;&lt;_isbn&gt;1473-2300 (Electronic); 0300-0605 (Linking)&lt;/_isbn&gt;&lt;_issue&gt;8&lt;/_issue&gt;&lt;_journal&gt;J Int Med Res&lt;/_journal&gt;&lt;_keywords&gt;Cisplatin; acetyl-L-carnitine; antioxidant; cardiotoxicity; immunohistochemistry; mice; superoxide dismutase-2; xenograft&lt;/_keywords&gt;&lt;_language&gt;eng&lt;/_language&gt;&lt;_pages&gt;300060520951393&lt;/_pages&gt;&lt;_subject_headings&gt;Acetylcarnitine/pharmacology; Animals; *Antineoplastic Agents; Antioxidants; Cardiotoxicity; *Cisplatin/toxicity; Mice; Mice, Nude&lt;/_subject_headings&gt;&lt;_tertiary_title&gt;The Journal of international medical research&lt;/_tertiary_title&gt;&lt;_type_work&gt;Journal Article&lt;/_type_work&gt;&lt;_url&gt;http://www.ncbi.nlm.nih.gov/entrez/query.fcgi?cmd=Retrieve&amp;amp;db=pubmed&amp;amp;dopt=Abstract&amp;amp;list_uids=32865065&amp;amp;query_hl=1&lt;/_url&gt;&lt;_volume&gt;48&lt;/_volume&gt;&lt;_created&gt;64284088&lt;/_created&gt;&lt;_modified&gt;64284089&lt;/_modified&gt;&lt;_db_updated&gt;PubMed&lt;/_db_updated&gt;&lt;_impact_factor&gt;   1.671&lt;/_impact_factor&gt;&lt;_collection_scope&gt;SCI;SCIE&lt;/_collection_scope&gt;&lt;/Details&gt;&lt;Extra&gt;&lt;DBUID&gt;{80FCD0DE-45A7-4B42-9F5C-3A940A7F46F3}&lt;/DBUID&gt;&lt;/Extra&gt;&lt;/Item&gt;&lt;/References&gt;&lt;/Group&gt;&lt;/Citation&gt;_x000a_"/>
    <w:docVar w:name="NE.Ref{37FC0BDB-2897-4338-8721-A57DD7BB9BD8}" w:val=" ADDIN NE.Ref.{37FC0BDB-2897-4338-8721-A57DD7BB9BD8}&lt;Citation&gt;&lt;Group&gt;&lt;References&gt;&lt;Item&gt;&lt;ID&gt;848&lt;/ID&gt;&lt;UID&gt;{819A7C31-8228-4944-97DC-508548FB15B6}&lt;/UID&gt;&lt;Title&gt;Subtyping of microsatellite instability-high colorectal cancer&lt;/Title&gt;&lt;Template&gt;Journal Article&lt;/Template&gt;&lt;Star&gt;0&lt;/Star&gt;&lt;Tag&gt;0&lt;/Tag&gt;&lt;Author&gt;Hu, W; Yang, Y; Qi, L; Chen, J; Ge, W; Zheng, S&lt;/Author&gt;&lt;Year&gt;2019&lt;/Year&gt;&lt;Details&gt;&lt;_accession_num&gt;31331345&lt;/_accession_num&gt;&lt;_author_adr&gt;Cancer Institute (Key Laboratory of Cancer Prevention and Intervention, China  National Ministry of Education), The Second Affiliated Hospital, Zhejiang  University School of Medicine, Zhejiang, 310009, Hangzhou, China.  wxhu@zju.edu.cn.; Key Laboratory of Reproductive and Genetics, Ministry of Education, Women&amp;apos;s  Hospital, Zhejiang University School of Medicine, Zhejiang, 310006, Hangzhou,  China.; Cancer Institute (Key Laboratory of Cancer Prevention and Intervention, China  National Ministry of Education), The Second Affiliated Hospital, Zhejiang  University School of Medicine, Zhejiang, 310009, Hangzhou, China.; Cancer Institute (Key Laboratory of Cancer Prevention and Intervention, China  National Ministry of Education), The Second Affiliated Hospital, Zhejiang  University School of Medicine, Zhejiang, 310009, Hangzhou, China.; Cancer Institute (Key Laboratory of Cancer Prevention and Intervention, China  National Ministry of Education), The Second Affiliated Hospital, Zhejiang  University School of Medicine, Zhejiang, 310009, Hangzhou, China.; Cancer Institute (Key Laboratory of Cancer Prevention and Intervention, China  National Ministry of Education), The Second Affiliated Hospital, Zhejiang  University School of Medicine, Zhejiang, 310009, Hangzhou, China.  zhengshu@zju.edu.cn.&lt;/_author_adr&gt;&lt;_collection_scope&gt;SCIE&lt;/_collection_scope&gt;&lt;_created&gt;65011218&lt;/_created&gt;&lt;_date&gt;2019-07-22&lt;/_date&gt;&lt;_date_display&gt;2019 Jul 22&lt;/_date_display&gt;&lt;_db_updated&gt;PubMed&lt;/_db_updated&gt;&lt;_doi&gt;10.1186/s12964-019-0397-4&lt;/_doi&gt;&lt;_impact_factor&gt;   5.712&lt;/_impact_factor&gt;&lt;_isbn&gt;1478-811X (Electronic); 1478-811X (Linking)&lt;/_isbn&gt;&lt;_issue&gt;1&lt;/_issue&gt;&lt;_journal&gt;Cell Commun Signal&lt;/_journal&gt;&lt;_keywords&gt;Colorectal cancer; Microsatellite instability-high; Subtyping; Tumor-associated macrophages; Tumor-infiltrating lymphocytes&lt;/_keywords&gt;&lt;_language&gt;eng&lt;/_language&gt;&lt;_modified&gt;65011218&lt;/_modified&gt;&lt;_pages&gt;79&lt;/_pages&gt;&lt;_subject_headings&gt;Colorectal Neoplasms/diagnosis/*genetics/immunology/pathology; DNA Methylation/genetics; Gene Expression Regulation, Neoplastic/genetics; Humans; *Microsatellite Instability; Prognosis; Programmed Cell Death 1 Ligand 2 Protein/genetics; Proto-Oncogene Proteins B-raf/genetics&lt;/_subject_headings&gt;&lt;_tertiary_title&gt;Cell communication and signaling : CCS&lt;/_tertiary_title&gt;&lt;_type_work&gt;Journal Article; Research Support, Non-U.S. Gov&amp;apos;t&lt;/_type_work&gt;&lt;_url&gt;http://www.ncbi.nlm.nih.gov/entrez/query.fcgi?cmd=Retrieve&amp;amp;db=pubmed&amp;amp;dopt=Abstract&amp;amp;list_uids=31331345&amp;amp;query_hl=1&lt;/_url&gt;&lt;_volume&gt;17&lt;/_volume&gt;&lt;/Details&gt;&lt;Extra&gt;&lt;DBUID&gt;{80FCD0DE-45A7-4B42-9F5C-3A940A7F46F3}&lt;/DBUID&gt;&lt;/Extra&gt;&lt;/Item&gt;&lt;/References&gt;&lt;/Group&gt;&lt;Group&gt;&lt;References&gt;&lt;Item&gt;&lt;ID&gt;919&lt;/ID&gt;&lt;UID&gt;{698C4305-BCB0-4585-8769-1D2C32D923F3}&lt;/UID&gt;&lt;Title&gt;Optimizing immunotherapy for colorectal cancer&lt;/Title&gt;&lt;Template&gt;Journal Article&lt;/Template&gt;&lt;Star&gt;0&lt;/Star&gt;&lt;Tag&gt;0&lt;/Tag&gt;&lt;Author&gt;Ganesh, K&lt;/Author&gt;&lt;Year&gt;2022&lt;/Year&gt;&lt;Details&gt;&lt;_accession_num&gt;34907331&lt;/_accession_num&gt;&lt;_author_adr&gt;Molecular Pharmacology Program, Sloan Kettering Institute and Gastrointestinal  Oncology Service, Memorial Hospital, Memorial Sloan Kettering Cancer Center, New  York, NY, USA. ganeshk@mskcc.org.&lt;/_author_adr&gt;&lt;_date_display&gt;2022 Feb&lt;/_date_display&gt;&lt;_date&gt;2022-02-01&lt;/_date&gt;&lt;_doi&gt;10.1038/s41575-021-00569-4&lt;/_doi&gt;&lt;_isbn&gt;1759-5053 (Electronic); 1759-5045 (Print); 1759-5045 (Linking)&lt;/_isbn&gt;&lt;_issue&gt;2&lt;/_issue&gt;&lt;_journal&gt;Nat Rev Gastroenterol Hepatol&lt;/_journal&gt;&lt;_language&gt;eng&lt;/_language&gt;&lt;_pages&gt;93-94&lt;/_pages&gt;&lt;_subject_headings&gt;Antibodies, Monoclonal, Humanized/therapeutic use; Antineoplastic Agents, Immunological/therapeutic use; Colorectal Neoplasms/immunology/pathology/*therapy; Humans; *Immunotherapy; Tumor Microenvironment/*physiology&lt;/_subject_headings&gt;&lt;_tertiary_title&gt;Nature reviews. Gastroenterology &amp;amp; hepatology&lt;/_tertiary_title&gt;&lt;_type_work&gt;Journal Article; Research Support, N.I.H., Extramural; Research Support, Non-U.S. Gov&amp;apos;t; Review&lt;/_type_work&gt;&lt;_url&gt;http://www.ncbi.nlm.nih.gov/entrez/query.fcgi?cmd=Retrieve&amp;amp;db=pubmed&amp;amp;dopt=Abstract&amp;amp;list_uids=34907331&amp;amp;query_hl=1&lt;/_url&gt;&lt;_volume&gt;19&lt;/_volume&gt;&lt;_created&gt;65047111&lt;/_created&gt;&lt;_modified&gt;65047111&lt;/_modified&gt;&lt;_db_updated&gt;PubMed&lt;/_db_updated&gt;&lt;_impact_factor&gt;  46.802&lt;/_impact_factor&gt;&lt;/Details&gt;&lt;Extra&gt;&lt;DBUID&gt;{80FCD0DE-45A7-4B42-9F5C-3A940A7F46F3}&lt;/DBUID&gt;&lt;/Extra&gt;&lt;/Item&gt;&lt;/References&gt;&lt;/Group&gt;&lt;/Citation&gt;_x000a_"/>
    <w:docVar w:name="NE.Ref{3967CBAE-E540-4BE2-AFBD-875679A626C8}" w:val=" ADDIN NE.Ref.{3967CBAE-E540-4BE2-AFBD-875679A626C8}&lt;Citation&gt;&lt;Group&gt;&lt;References&gt;&lt;Item&gt;&lt;ID&gt;854&lt;/ID&gt;&lt;UID&gt;{A6106845-BE12-4680-8AD6-FD3E7BDCD25D}&lt;/UID&gt;&lt;Title&gt;Utility of postoperative CEA for surveillance of recurrence after resection of  primary colorectal cancer&lt;/Title&gt;&lt;Template&gt;Journal Article&lt;/Template&gt;&lt;Star&gt;0&lt;/Star&gt;&lt;Tag&gt;0&lt;/Tag&gt;&lt;Author&gt;Bhatti, I; Patel, M; Dennison, A R; Thomas, M W; Garcea, G&lt;/Author&gt;&lt;Year&gt;2015&lt;/Year&gt;&lt;Details&gt;&lt;_accession_num&gt;25771102&lt;/_accession_num&gt;&lt;_author_adr&gt;Department of Surgery, Leicester General Hospital, Leicester, UK. Electronic  address: Imran.bhatti@uhl-tr.nhs.uk.; Department of Surgery, Leicester General Hospital, Leicester, UK.; Department of Surgery, Leicester General Hospital, Leicester, UK.; Department of Surgery, Leicester General Hospital, Leicester, UK.; Department of Surgery, Leicester General Hospital, Leicester, UK.&lt;/_author_adr&gt;&lt;_collection_scope&gt;SCIE&lt;/_collection_scope&gt;&lt;_created&gt;65012870&lt;/_created&gt;&lt;_date&gt;2015-04-01&lt;/_date&gt;&lt;_date_display&gt;2015 Apr&lt;/_date_display&gt;&lt;_db_updated&gt;PubMed&lt;/_db_updated&gt;&lt;_doi&gt;10.1016/j.ijsu.2015.03.002&lt;/_doi&gt;&lt;_impact_factor&gt;   6.071&lt;/_impact_factor&gt;&lt;_isbn&gt;1743-9159 (Electronic); 1743-9159 (Linking)&lt;/_isbn&gt;&lt;_issue&gt;Pt A&lt;/_issue&gt;&lt;_journal&gt;Int J Surg&lt;/_journal&gt;&lt;_keywords&gt;CEA; Colorectal cancer; Surveillance&lt;/_keywords&gt;&lt;_language&gt;eng&lt;/_language&gt;&lt;_modified&gt;65012870&lt;/_modified&gt;&lt;_ori_publication&gt;Copyright (c) 2015 Surgical Associates Ltd. Published by Elsevier Ltd. All rights _x000d__x000a_      reserved.&lt;/_ori_publication&gt;&lt;_pages&gt;123-128&lt;/_pages&gt;&lt;_subject_headings&gt;Adult; Aged; Aged, 80 and over; Carcinoembryonic Antigen/*blood; Colorectal Neoplasms/*surgery; Female; Humans; Male; Middle Aged; Neoplasm Recurrence, Local/*diagnosis; Postoperative Period&lt;/_subject_headings&gt;&lt;_tertiary_title&gt;International journal of surgery (London, England)&lt;/_tertiary_title&gt;&lt;_type_work&gt;Journal Article&lt;/_type_work&gt;&lt;_url&gt;http://www.ncbi.nlm.nih.gov/entrez/query.fcgi?cmd=Retrieve&amp;amp;db=pubmed&amp;amp;dopt=Abstract&amp;amp;list_uids=25771102&amp;amp;query_hl=1&lt;/_url&gt;&lt;_volume&gt;16&lt;/_volume&gt;&lt;/Details&gt;&lt;Extra&gt;&lt;DBUID&gt;{80FCD0DE-45A7-4B42-9F5C-3A940A7F46F3}&lt;/DBUID&gt;&lt;/Extra&gt;&lt;/Item&gt;&lt;/References&gt;&lt;/Group&gt;&lt;Group&gt;&lt;References&gt;&lt;Item&gt;&lt;ID&gt;855&lt;/ID&gt;&lt;UID&gt;{6D765806-9DA3-46A0-BD9A-A02D68406118}&lt;/UID&gt;&lt;Title&gt;Evaluating the Prognostic Role of Elevated Preoperative Carcinoembryonic Antigen  Levels in Colon Cancer Patients: Results from the National Cancer Database&lt;/Title&gt;&lt;Template&gt;Journal Article&lt;/Template&gt;&lt;Star&gt;0&lt;/Star&gt;&lt;Tag&gt;0&lt;/Tag&gt;&lt;Author&gt;Becerra, A Z; Probst, C P; Tejani, M A; Aquina, C T; Gonzalez, M G; Hensley, B J; Noyes, K; Monson, J R; Fleming, F J&lt;/Author&gt;&lt;Year&gt;2016&lt;/Year&gt;&lt;Details&gt;&lt;_accession_num&gt;26759308&lt;/_accession_num&gt;&lt;_author_adr&gt;Department of Surgery, Surgical Health Outcomes and Research Enterprise,  University of Rochester Medical Center, 601 Elmwood Avenue, Rochester, NY, 14642,  USA. adan_becerra@urmc.rochester.edu.; Department of Surgery, Surgical Health Outcomes and Research Enterprise,  University of Rochester Medical Center, 601 Elmwood Avenue, Rochester, NY, 14642,  USA.; Department of Medicine, Hematology/Oncology, University of Rochester Medical  Center, Rochester, NY, USA.; Department of Surgery, Surgical Health Outcomes and Research Enterprise,  University of Rochester Medical Center, 601 Elmwood Avenue, Rochester, NY, 14642,  USA.; Department of Surgery, Surgical Health Outcomes and Research Enterprise,  University of Rochester Medical Center, 601 Elmwood Avenue, Rochester, NY, 14642,  USA.; Department of Surgery, Surgical Health Outcomes and Research Enterprise,  University of Rochester Medical Center, 601 Elmwood Avenue, Rochester, NY, 14642,  USA.; Department of Surgery, Surgical Health Outcomes and Research Enterprise,  University of Rochester Medical Center, 601 Elmwood Avenue, Rochester, NY, 14642,  USA.; Department of Surgery, Surgical Health Outcomes and Research Enterprise,  University of Rochester Medical Center, 601 Elmwood Avenue, Rochester, NY, 14642,  USA.; Department of Surgery, Surgical Health Outcomes and Research Enterprise,  University of Rochester Medical Center, 601 Elmwood Avenue, Rochester, NY, 14642,  USA.&lt;/_author_adr&gt;&lt;_collection_scope&gt;SCI;SCIE&lt;/_collection_scope&gt;&lt;_created&gt;65012872&lt;/_created&gt;&lt;_date&gt;2016-05-01&lt;/_date&gt;&lt;_date_display&gt;2016 May&lt;/_date_display&gt;&lt;_db_updated&gt;PubMed&lt;/_db_updated&gt;&lt;_doi&gt;10.1245/s10434-015-5014-1&lt;/_doi&gt;&lt;_impact_factor&gt;   5.344&lt;/_impact_factor&gt;&lt;_isbn&gt;1534-4681 (Electronic); 1068-9265 (Linking)&lt;/_isbn&gt;&lt;_issue&gt;5&lt;/_issue&gt;&lt;_journal&gt;Ann Surg Oncol&lt;/_journal&gt;&lt;_language&gt;eng&lt;/_language&gt;&lt;_modified&gt;65012872&lt;/_modified&gt;&lt;_pages&gt;1554-61&lt;/_pages&gt;&lt;_subject_headings&gt;Adenocarcinoma/metabolism/*pathology/surgery; Adenocarcinoma, Mucinous/metabolism/*pathology/surgery; Aged; Biomarkers, Tumor/*metabolism; Carcinoembryonic Antigen/*metabolism; Carcinoma, Signet Ring Cell/metabolism/*pathology/surgery; Colonic Neoplasms/metabolism/*pathology/surgery; *Databases, Factual; Female; Follow-Up Studies; Humans; Male; Neoplasm Grading; Neoplasm Staging; Preoperative Care; Prognosis; Survival Rate&lt;/_subject_headings&gt;&lt;_tertiary_title&gt;Annals of surgical oncology&lt;/_tertiary_title&gt;&lt;_type_work&gt;Evaluation Study; Journal Article&lt;/_type_work&gt;&lt;_url&gt;http://www.ncbi.nlm.nih.gov/entrez/query.fcgi?cmd=Retrieve&amp;amp;db=pubmed&amp;amp;dopt=Abstract&amp;amp;list_uids=26759308&amp;amp;query_hl=1&lt;/_url&gt;&lt;_volume&gt;23&lt;/_volume&gt;&lt;/Details&gt;&lt;Extra&gt;&lt;DBUID&gt;{80FCD0DE-45A7-4B42-9F5C-3A940A7F46F3}&lt;/DBUID&gt;&lt;/Extra&gt;&lt;/Item&gt;&lt;/References&gt;&lt;/Group&gt;&lt;/Citation&gt;_x000a_"/>
    <w:docVar w:name="NE.Ref{3A43F0CF-92FC-4B6E-B354-13549F9F07BE}" w:val=" ADDIN NE.Ref.{3A43F0CF-92FC-4B6E-B354-13549F9F07BE}&lt;Citation&gt;&lt;Group&gt;&lt;References&gt;&lt;Item&gt;&lt;ID&gt;859&lt;/ID&gt;&lt;UID&gt;{7FFC41A2-E889-46AA-81F1-09BBA512019C}&lt;/UID&gt;&lt;Title&gt;Phase I/II Trial of Labetuzumab Govitecan (Anti-CEACAM5/SN-38 Antibody-Drug  Conjugate) in Patients With Refractory or Relapsing Metastatic Colorectal Cancer&lt;/Title&gt;&lt;Template&gt;Journal Article&lt;/Template&gt;&lt;Star&gt;0&lt;/Star&gt;&lt;Tag&gt;0&lt;/Tag&gt;&lt;Author&gt;Dotan, E; Cohen, S J; Starodub, A N; Lieu, C H; Messersmith, W A; Simpson, P S; Guarino, M J; Marshall, J L; Goldberg, R M; Hecht, J R; Wegener, W A; Sharkey, R M; Govindan, S V; Goldenberg, D M; Berlin, J D&lt;/Author&gt;&lt;Year&gt;2017&lt;/Year&gt;&lt;Details&gt;&lt;_accession_num&gt;28817371&lt;/_accession_num&gt;&lt;_author_adr&gt;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lt;/_author_adr&gt;&lt;_collection_scope&gt;SCI;SCIE&lt;/_collection_scope&gt;&lt;_created&gt;65012903&lt;/_created&gt;&lt;_date&gt;2017-10-10&lt;/_date&gt;&lt;_date_display&gt;2017 Oct 10&lt;/_date_display&gt;&lt;_db_updated&gt;PubMed&lt;/_db_updated&gt;&lt;_doi&gt;10.1200/JCO.2017.73.9011&lt;/_doi&gt;&lt;_impact_factor&gt;  44.544&lt;/_impact_factor&gt;&lt;_isbn&gt;1527-7755 (Electronic); 0732-183X (Print); 0732-183X (Linking)&lt;/_isbn&gt;&lt;_issue&gt;29&lt;/_issue&gt;&lt;_journal&gt;J Clin Oncol&lt;/_journal&gt;&lt;_language&gt;eng&lt;/_language&gt;&lt;_modified&gt;65012904&lt;/_modified&gt;&lt;_pages&gt;3338-3346&lt;/_pages&gt;&lt;_subject_headings&gt;Adult; Aged; Aged, 80 and over; Antibodies, Monoclonal, Humanized/*administration &amp;amp; dosage/adverse _x000d__x000a_      effects/pharmacokinetics; Antineoplastic Agents/*administration &amp;amp; dosage/adverse effects/pharmacokinetics; Camptothecin/administration &amp;amp; dosage/adverse effects/*analogs &amp;amp; derivatives; Colorectal Neoplasms/*drug therapy/mortality/pathology; Disease Progression; Disease-Free Survival; Drug Administration Schedule; *Drug Resistance, Neoplasm; Female; Half-Life; Humans; Infusions, Intravenous; Irinotecan; Male; Middle Aged; Neoplasm Metastasis; Survival Analysis; Treatment Outcome&lt;/_subject_headings&gt;&lt;_tertiary_title&gt;Journal of clinical oncology : official journal of the American Society of _x000d__x000a_      Clinical Oncology&lt;/_tertiary_title&gt;&lt;_type_work&gt;Clinical Trial, Phase I; Clinical Trial, Phase II; Journal Article; Multicenter Study&lt;/_type_work&gt;&lt;_url&gt;http://www.ncbi.nlm.nih.gov/entrez/query.fcgi?cmd=Retrieve&amp;amp;db=pubmed&amp;amp;dopt=Abstract&amp;amp;list_uids=28817371&amp;amp;query_hl=1&lt;/_url&gt;&lt;_volume&gt;35&lt;/_volume&gt;&lt;/Details&gt;&lt;Extra&gt;&lt;DBUID&gt;{80FCD0DE-45A7-4B42-9F5C-3A940A7F46F3}&lt;/DBUID&gt;&lt;/Extra&gt;&lt;/Item&gt;&lt;/References&gt;&lt;/Group&gt;&lt;Group&gt;&lt;References&gt;&lt;Item&gt;&lt;ID&gt;865&lt;/ID&gt;&lt;UID&gt;{AF9C8116-51BD-41DE-9F1E-7AB9936FDC80}&lt;/UID&gt;&lt;Title&gt;Safety and effectiveness of SGM-101, a fluorescent antibody targeting  carcinoembryonic antigen, for intraoperative detection of colorectal cancer: a  dose-escalation pilot study&lt;/Title&gt;&lt;Template&gt;Journal Article&lt;/Template&gt;&lt;Star&gt;0&lt;/Star&gt;&lt;Tag&gt;0&lt;/Tag&gt;&lt;Author&gt;Boogerd, LSF; Hoogstins, CES; Schaap, D P; Kusters, M; Handgraaf, HJM; van der Valk, MJM; Hilling, D E; Holman, F A; Peeters, KCMJ; Mieog, JSD; van de Velde, CJH; Farina-Sarasqueta, A; van Lijnschoten, I; Framery, B; Pelegrin, A; Gutowski, M; Nienhuijs, S W; de Hingh, IHJT; Nieuwenhuijzen, GAP; Rutten, HJT; Cailler, F; Burggraaf, J; Vahrmeijer, A L&lt;/Author&gt;&lt;Year&gt;2018&lt;/Year&gt;&lt;Details&gt;&lt;_accession_num&gt;29361435&lt;/_accession_num&gt;&lt;_author_adr&gt;Department of Surgery, Leiden University Medical Center, Leiden, Netherlands.; Department of Surgery, Leiden University Medical Center, Leiden, Netherlands.; Department of Surgery, Catharina Hospital Eindhoven, Eindhoven, Netherlands.; Department of Surgery, Leiden University Medical Center, Leiden, Netherlands;  Department of Surgery, Catharina Hospital Eindhoven, Eindhov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Pathology, Leiden University Medical Center, Leiden, Netherlands.; Stichting PAMM, Eindhoven, Netherlands.; SurgiMab, Montpellier, France.; IRCM, Institut de Recherche en Cancerologie de Montpellier, Montpellier, France;  INSERM, U1194, Montpellier, France; Universite de Montpellier, Montpellier,  France; Institut regional du Cancer de Montpellier, ICM, Montpellier, France.; Institut regional du Cancer de Montpellier, ICM, Montpellier, France.; Department of Surgery, Catharina Hospital Eindhoven, Eindhoven, Netherlands.; Department of Surgery, Catharina Hospital Eindhoven, Eindhoven, Netherlands.; Department of Surgery, Catharina Hospital Eindhoven, Eindhoven, Netherlands.; Department of Surgery, Catharina Hospital Eindhoven, Eindhoven, Netherlands;  GROW, School Of Oncology and Developmental Biology, University of Maastricht,  Maastricht, Netherlands.; SurgiMab, Montpellier, France.; Centre for Human Drug Research, Leiden, Netherlands; Leiden Academic Center for  Drug Research, Leiden, Netherlands.; Department of Surgery, Leiden University Medical Center, Leiden, Netherlands.  Electronic address: a.l.vahrmeijer@lumc.nl.&lt;/_author_adr&gt;&lt;_date_display&gt;2018 Mar&lt;/_date_display&gt;&lt;_date&gt;2018-03-01&lt;/_date&gt;&lt;_doi&gt;10.1016/S2468-1253(17)30395-3&lt;/_doi&gt;&lt;_isbn&gt;2468-1253 (Electronic)&lt;/_isbn&gt;&lt;_issue&gt;3&lt;/_issue&gt;&lt;_journal&gt;Lancet Gastroenterol Hepatol&lt;/_journal&gt;&lt;_language&gt;eng&lt;/_language&gt;&lt;_ori_publication&gt;Copyright (c) 2018 Elsevier Ltd. All rights reserved.&lt;/_ori_publication&gt;&lt;_pages&gt;181-191&lt;/_pages&gt;&lt;_subject_headings&gt;Aged; Antibodies, Monoclonal/*administration &amp;amp; dosage/*adverse effects; Carcinoembryonic Antigen/blood/*immunology; Colorectal Neoplasms/*diagnostic imaging/pathology/surgery; Female; *Fluorescent Antibody Technique; Humans; Intraoperative Period; Male; Neoplasm Recurrence, Local/diagnostic imaging; Peritoneal Neoplasms/diagnostic imaging/secondary; Pilot Projects&lt;/_subject_headings&gt;&lt;_tertiary_title&gt;The lancet. Gastroenterology &amp;amp; hepatology&lt;/_tertiary_title&gt;&lt;_type_work&gt;Journal Article; Multicenter Study; Research Support, Non-U.S. Gov&amp;apos;t&lt;/_type_work&gt;&lt;_url&gt;http://www.ncbi.nlm.nih.gov/entrez/query.fcgi?cmd=Retrieve&amp;amp;db=pubmed&amp;amp;dopt=Abstract&amp;amp;list_uids=29361435&amp;amp;query_hl=1&lt;/_url&gt;&lt;_volume&gt;3&lt;/_volume&gt;&lt;_created&gt;65018510&lt;/_created&gt;&lt;_modified&gt;65018511&lt;/_modified&gt;&lt;_db_updated&gt;PubMed&lt;/_db_updated&gt;&lt;_impact_factor&gt;  18.486&lt;/_impact_factor&gt;&lt;/Details&gt;&lt;Extra&gt;&lt;DBUID&gt;{80FCD0DE-45A7-4B42-9F5C-3A940A7F46F3}&lt;/DBUID&gt;&lt;/Extra&gt;&lt;/Item&gt;&lt;/References&gt;&lt;/Group&gt;&lt;Group&gt;&lt;References&gt;&lt;Item&gt;&lt;ID&gt;858&lt;/ID&gt;&lt;UID&gt;{DE970706-7E28-4C72-9216-CFF07D406AB3}&lt;/UID&gt;&lt;Title&gt;A highly-specific fully-human antibody and CAR-T cells targeting CD66e/CEACAM5  are cytotoxic for CD66e-expressing cancer cells in vitro and in vivo&lt;/Title&gt;&lt;Template&gt;Journal Article&lt;/Template&gt;&lt;Star&gt;0&lt;/Star&gt;&lt;Tag&gt;0&lt;/Tag&gt;&lt;Author&gt;Baek, D S; Kim, Y J; Vergara, S; Conard, A; Adams, C; Calero, G; Ishima, R; Mellors, J W; Dimitrov, D S&lt;/Author&gt;&lt;Year&gt;2022&lt;/Year&gt;&lt;Details&gt;&lt;_accession_num&gt;34740610&lt;/_accession_num&gt;&lt;_author_adr&gt;Center for Antibody Therapeutics, Division of Infectious Diseases, Department of  Medicine, University of Pittsburgh School of Medicine, Pittsburgh, PA, USA.  Electronic address: dub5@pitt.edu.; Center for Antibody Therapeutics, Division of Infectious Diseases, Department of  Medicine,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Department of Structural Biology,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Abound Bio, Pittsburgh, PA, USA. Electronic address: mit666666@pitt.edu.&lt;/_author_adr&gt;&lt;_collection_scope&gt;SCI;SCIE&lt;/_collection_scope&gt;&lt;_created&gt;65012902&lt;/_created&gt;&lt;_date&gt;2022-01-28&lt;/_date&gt;&lt;_date_display&gt;2022 Jan 28&lt;/_date_display&gt;&lt;_db_updated&gt;PubMed&lt;/_db_updated&gt;&lt;_doi&gt;10.1016/j.canlet.2021.10.041&lt;/_doi&gt;&lt;_impact_factor&gt;   8.679&lt;/_impact_factor&gt;&lt;_isbn&gt;1872-7980 (Electronic); 0304-3835 (Linking)&lt;/_isbn&gt;&lt;_journal&gt;Cancer Lett&lt;/_journal&gt;&lt;_keywords&gt;CD66e; CEA; CEACAM5; Immunotherapy; NEPC; Prostate cancer&lt;/_keywords&gt;&lt;_language&gt;eng&lt;/_language&gt;&lt;_modified&gt;65012903&lt;/_modified&gt;&lt;_ori_publication&gt;Copyright (c) 2021 Elsevier B.V. All rights reserved.&lt;/_ori_publication&gt;&lt;_pages&gt;97-107&lt;/_pages&gt;&lt;_subject_headings&gt;Animals; Antibodies, Anti-Idiotypic/immunology/pharmacology; Antibodies, Monoclonal/pharmacology; Antineoplastic Agents/immunology; Carcinoembryonic Antigen/*genetics/immunology/therapeutic use; Cell Proliferation/drug effects; GPI-Linked Proteins/genetics/immunology/therapeutic use; Gene Expression Regulation, Neoplastic/drug effects; Humans; Immunoglobulin G/immunology; Immunotherapy, Adoptive/trends; Male; Mice; Neuroendocrine Tumors/immunology/pathology/*therapy; Prostate/pathology/surgery; Prostatic Neoplasms/immunology/pathology/*therapy; Prostatic Neoplasms, Castration-Resistant/immunology/pathology/*therapy; Receptors, Chimeric Antigen/genetics/*immunology/therapeutic use&lt;/_subject_headings&gt;&lt;_tertiary_title&gt;Cancer letters&lt;/_tertiary_title&gt;&lt;_type_work&gt;Journal Article; Research Support, Non-U.S. Gov&amp;apos;t&lt;/_type_work&gt;&lt;_url&gt;http://www.ncbi.nlm.nih.gov/entrez/query.fcgi?cmd=Retrieve&amp;amp;db=pubmed&amp;amp;dopt=Abstract&amp;amp;list_uids=34740610&amp;amp;query_hl=1&lt;/_url&gt;&lt;_volume&gt;525&lt;/_volume&gt;&lt;/Details&gt;&lt;Extra&gt;&lt;DBUID&gt;{80FCD0DE-45A7-4B42-9F5C-3A940A7F46F3}&lt;/DBUID&gt;&lt;/Extra&gt;&lt;/Item&gt;&lt;/References&gt;&lt;/Group&gt;&lt;Group&gt;&lt;References&gt;&lt;Item&gt;&lt;ID&gt;836&lt;/ID&gt;&lt;UID&gt;{A05B61D3-C26C-4CBA-B7C3-711B347C459C}&lt;/UID&gt;&lt;Title&gt;Identification of a CEACAM5 targeted nanobody for positron emission tomography  imaging and near-infrared fluorescence imaging of colorectal cancer&lt;/Title&gt;&lt;Template&gt;Journal Article&lt;/Template&gt;&lt;Star&gt;0&lt;/Star&gt;&lt;Tag&gt;5&lt;/Tag&gt;&lt;Author&gt;Xiao, Y; Mei, C; Xu, D; Yang, F; Yang, M; Bi, L; Mao, J; Pang, P; Li, D&lt;/Author&gt;&lt;Year&gt;2023&lt;/Year&gt;&lt;Details&gt;&lt;_accession_num&gt;36914753&lt;/_accession_num&gt;&lt;_author_adr&gt;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Center for Interventional Medicine, The Fifth Affiliated Hospital, Sun Yat-Sen  University, Guangdong Province, 519000, China. maojunj@mail.sysu.edu.cn.; Center for Interventional Medicine, The Fifth Affiliated Hospital, Sun Yat-Sen  University, Guangdong Province, 519000, China. pangpf@mail.sysu.edu.cn.; Department of Nuclear Medicine, The Fifth Affiliated Hospital, Sun Yat-Sen  University, Guangdong Province, 519000, China. lidan25@mail.sysu.edu.cn.; Guangdong Provincial Key Laboratory of Biomedical Imaging and Guangdong  Provincial Engineering Research Center of Molecular Imaging, The Fifth Affiliated  Hospital, Sun Yat-Sen University, Guangdong Province, 519000, China.  lidan25@mail.sysu.edu.cn.&lt;/_author_adr&gt;&lt;_created&gt;64946401&lt;/_created&gt;&lt;_date&gt;2023-07-01&lt;/_date&gt;&lt;_date_display&gt;2023 Jul&lt;/_date_display&gt;&lt;_db_updated&gt;PubMed&lt;/_db_updated&gt;&lt;_doi&gt;10.1007/s00259-023-06183-7&lt;/_doi&gt;&lt;_impact_factor&gt;   9.236&lt;/_impact_factor&gt;&lt;_isbn&gt;1619-7089 (Electronic); 1619-7070 (Linking)&lt;/_isbn&gt;&lt;_issue&gt;8&lt;/_issue&gt;&lt;_journal&gt;Eur J Nucl Med Mol Imaging&lt;/_journal&gt;&lt;_keywords&gt;CEACAM5; Colorectal cancer; Nanobody; Near-infrared fluorescence imaging; Positron emission tomography imaging&lt;/_keywords&gt;&lt;_language&gt;eng&lt;/_language&gt;&lt;_modified&gt;64946401&lt;/_modified&gt;&lt;_ori_publication&gt;(c) 2023. The Author(s), under exclusive licence to Springer-Verlag GmbH Germany, _x000d__x000a_      part of Springer Nature.&lt;/_ori_publication&gt;&lt;_pages&gt;2305-2318&lt;/_pages&gt;&lt;_subject_headings&gt;Humans; Cell Line, Tumor; *Single-Domain Antibodies/metabolism; Positron-Emission Tomography; *Colorectal Neoplasms/diagnostic imaging; Optical Imaging; Carcinoembryonic Antigen; GPI-Linked Proteins&lt;/_subject_headings&gt;&lt;_tertiary_title&gt;European journal of nuclear medicine and molecular imaging&lt;/_tertiary_title&gt;&lt;_type_work&gt;Journal Article&lt;/_type_work&gt;&lt;_url&gt;http://www.ncbi.nlm.nih.gov/entrez/query.fcgi?cmd=Retrieve&amp;amp;db=pubmed&amp;amp;dopt=Abstract&amp;amp;list_uids=36914753&amp;amp;query_hl=1&lt;/_url&gt;&lt;_volume&gt;50&lt;/_volume&gt;&lt;/Details&gt;&lt;Extra&gt;&lt;DBUID&gt;{80FCD0DE-45A7-4B42-9F5C-3A940A7F46F3}&lt;/DBUID&gt;&lt;/Extra&gt;&lt;/Item&gt;&lt;/References&gt;&lt;/Group&gt;&lt;/Citation&gt;_x000a_"/>
    <w:docVar w:name="NE.Ref{3A9DF991-116C-428B-99A7-689613F59427}" w:val=" ADDIN NE.Ref.{3A9DF991-116C-428B-99A7-689613F59427}&lt;Citation&gt;&lt;Group&gt;&lt;References&gt;&lt;Item&gt;&lt;ID&gt;846&lt;/ID&gt;&lt;UID&gt;{FD0C33E2-934A-4A49-86DB-031A74600347}&lt;/UID&gt;&lt;Title&gt;The Eighth Edition AJCC Cancer Staging Manual: Continuing to build a bridge from  a population-based to a more &amp;quot;personalized&amp;quot; approach to cancer staging&lt;/Title&gt;&lt;Template&gt;Journal Article&lt;/Template&gt;&lt;Star&gt;0&lt;/Star&gt;&lt;Tag&gt;0&lt;/Tag&gt;&lt;Author&gt;Amin, M B; Greene, F L; Edge, S B; Compton, C C; Gershenwald, J E; Brookland, R K; Meyer, L; Gress, D M; Byrd, D R; Winchester, D P&lt;/Author&gt;&lt;Year&gt;2017&lt;/Year&gt;&lt;Details&gt;&lt;_accession_num&gt;28094848&lt;/_accession_num&gt;&lt;_author_adr&gt;Professor and Chairman, UTHSC Gerwin Chair for Cancer Research, Department of  Pathology and Laboratory Medicine, University of Tennessee Health Science Center,  Memphis, TN.; Medical Director, Cancer Data Services, Levine Cancer Institute, Charlotte, NC.; Vice President, Healthcare Outcomes and Policy, Department of Cancer Prevention  and Control, Roswell Park Cancer Institute, Buffalo, NY.; Professor of Oncology, Department of Surgical Oncology, Roswell Park Cancer  Institute, Buffalo, NY.; Chief Medical Officer, Complex Adaptive Systems Initiative, Arizona State  University, Scottsdale, AZ.; Professor of Laboratory Medicine and Pathology, Mayo Clinic, Rochester, MN.; Professor of Surgery and Cancer Biology, The University of Texas MD Anderson  Cancer Center, Houston, TX.; Radiation Oncologist, Greater Baltimore Medical Center, Baltimore, MD.; Eighth Edition Project Manager and Managing Editor, American Joint Committee on  Cancer, Chicago, IL.; Technical Specialist and Technical Editor, American Joint Committee on Cancer,  Chicago, IL.; Section Chief of Surgical Oncology and Professor of Surgery, University of  Washington, Seattle, WA.; Medical Director, American Joint Committee on Cancer, Chicago, IL.&lt;/_author_adr&gt;&lt;_created&gt;65011198&lt;/_created&gt;&lt;_date&gt;2017-03-01&lt;/_date&gt;&lt;_date_display&gt;2017 Mar&lt;/_date_display&gt;&lt;_db_updated&gt;PubMed&lt;/_db_updated&gt;&lt;_doi&gt;10.3322/caac.21388&lt;/_doi&gt;&lt;_impact_factor&gt; 508.702&lt;/_impact_factor&gt;&lt;_isbn&gt;1542-4863 (Electronic); 0007-9235 (Linking)&lt;/_isbn&gt;&lt;_issue&gt;2&lt;/_issue&gt;&lt;_journal&gt;CA Cancer J Clin&lt;/_journal&gt;&lt;_keywords&gt;American Joint Committee on Cancer (AJCC); TNM staging; application programing interface; cancer stage; component content management system; electronic health record; precision medicine; prognostic factors; risk assessment models&lt;/_keywords&gt;&lt;_language&gt;eng&lt;/_language&gt;&lt;_modified&gt;65011198&lt;/_modified&gt;&lt;_ori_publication&gt;(c) 2017 American Cancer Society.&lt;/_ori_publication&gt;&lt;_pages&gt;93-99&lt;/_pages&gt;&lt;_subject_headings&gt;Diagnostic Imaging; Humans; Lymphatic Metastasis; Neoplasm Staging/*methods/standards; Practice Guidelines as Topic; Precision Medicine/*methods/standards; Terminology as Topic; United States&lt;/_subject_headings&gt;&lt;_tertiary_title&gt;CA: a cancer journal for clinicians&lt;/_tertiary_title&gt;&lt;_type_work&gt;Introductory Journal Article&lt;/_type_work&gt;&lt;_url&gt;http://www.ncbi.nlm.nih.gov/entrez/query.fcgi?cmd=Retrieve&amp;amp;db=pubmed&amp;amp;dopt=Abstract&amp;amp;list_uids=28094848&amp;amp;query_hl=1&lt;/_url&gt;&lt;_volume&gt;67&lt;/_volume&gt;&lt;/Details&gt;&lt;Extra&gt;&lt;DBUID&gt;{80FCD0DE-45A7-4B42-9F5C-3A940A7F46F3}&lt;/DBUID&gt;&lt;/Extra&gt;&lt;/Item&gt;&lt;/References&gt;&lt;/Group&gt;&lt;/Citation&gt;_x000a_"/>
    <w:docVar w:name="NE.Ref{3EC91711-8B7D-4EF9-8F62-21F09725F1E5}" w:val=" ADDIN NE.Ref.{3EC91711-8B7D-4EF9-8F62-21F09725F1E5}&lt;Citation&gt;&lt;Group&gt;&lt;References&gt;&lt;Item&gt;&lt;ID&gt;192&lt;/ID&gt;&lt;UID&gt;{E4C3F3A9-1F93-4087-A95C-24709C90DE20}&lt;/UID&gt;&lt;Title&gt;A study on the effective substance of the Wu-tou formula based on the metabonomic method using UPLC-Q-TOF-HDMS&lt;/Title&gt;&lt;Template&gt;Journal Article&lt;/Template&gt;&lt;Star&gt;0&lt;/Star&gt;&lt;Tag&gt;0&lt;/Tag&gt;&lt;Author&gt;Xu, T; Liu, S; Zhao, J; Feng, G; Pi, Z; Song, F; Liu, Z&lt;/Author&gt;&lt;Year&gt;2015&lt;/Year&gt;&lt;Details&gt;&lt;_accession_num&gt;26338656&lt;/_accession_num&gt;&lt;_author_adr&gt;State Key Laboratory of Electroanalytical Chemistry, National Center for Mass Spectrometry in Changchun, Jilin Province Key Laboratory of Chinese Medicine Chemistry and Mass Spectrometry, Changchun Institute of Applied Chemistry, Chinese Academy of Sciences, Changchun 130022, China. mslab21@ciac.ac.cn liuzq@ciac.ac.cn.&lt;/_author_adr&gt;&lt;_date_display&gt;2015 Nov&lt;/_date_display&gt;&lt;_date&gt;2015-11-01&lt;/_date&gt;&lt;_doi&gt;10.1039/c5mb00454c&lt;/_doi&gt;&lt;_isbn&gt;1742-2051 (Electronic); 1742-2051 (Linking)&lt;/_isbn&gt;&lt;_issue&gt;11&lt;/_issue&gt;&lt;_journal&gt;Mol Biosyst&lt;/_journal&gt;&lt;_language&gt;eng&lt;/_language&gt;&lt;_pages&gt;3081-91&lt;/_pages&gt;&lt;_subject_headings&gt;Animals; Arthritis, Rheumatoid/blood/drug therapy/metabolism; Biomarkers/metabolism; Chromatography, High Pressure Liquid/*methods; Drugs, Chinese Herbal/*pharmacology; Joints/drug effects/pathology; Male; Malondialdehyde/blood; Mass Spectrometry/*methods; Metabolomics/*methods; Principal Component Analysis; Rats, Sprague-Dawley; Superoxide Dismutase/metabolism; Treatment Outcome&lt;/_subject_headings&gt;&lt;_tertiary_title&gt;Molecular bioSystems&lt;/_tertiary_title&gt;&lt;_type_work&gt;Journal Article; Research Support, Non-U.S. Gov&amp;apos;t&lt;/_type_work&gt;&lt;_url&gt;http://www.ncbi.nlm.nih.gov/entrez/query.fcgi?cmd=Retrieve&amp;amp;db=pubmed&amp;amp;dopt=Abstract&amp;amp;list_uids=26338656&amp;amp;query_hl=1&lt;/_url&gt;&lt;_volume&gt;11&lt;/_volume&gt;&lt;_created&gt;64284080&lt;/_created&gt;&lt;_modified&gt;64284080&lt;/_modified&gt;&lt;_db_updated&gt;PubMed&lt;/_db_updated&gt;&lt;_collection_scope&gt;WoS-CC&lt;/_collection_scope&gt;&lt;/Details&gt;&lt;Extra&gt;&lt;DBUID&gt;{80FCD0DE-45A7-4B42-9F5C-3A940A7F46F3}&lt;/DBUID&gt;&lt;/Extra&gt;&lt;/Item&gt;&lt;/References&gt;&lt;/Group&gt;&lt;/Citation&gt;_x000a_"/>
    <w:docVar w:name="NE.Ref{447356D5-3B7F-480F-8776-93D1FC687373}" w:val=" ADDIN NE.Ref.{447356D5-3B7F-480F-8776-93D1FC687373}&lt;Citation&gt;&lt;Group&gt;&lt;References&gt;&lt;Item&gt;&lt;ID&gt;229&lt;/ID&gt;&lt;UID&gt;{C5B65C2A-CACC-4711-B193-0CBC78C8891F}&lt;/UID&gt;&lt;Title&gt;Colorectal cancer and inflammatory bowel disease: epidemiology, risk factors, mechanisms of carcinogenesis and prevention strategies&lt;/Title&gt;&lt;Template&gt;Journal Article&lt;/Template&gt;&lt;Star&gt;0&lt;/Star&gt;&lt;Tag&gt;0&lt;/Tag&gt;&lt;Author&gt;Triantafillidis, J K; Nasioulas, G; Kosmidis, P A&lt;/Author&gt;&lt;Year&gt;2009&lt;/Year&gt;&lt;Details&gt;&lt;_accession_num&gt;19596953&lt;/_accession_num&gt;&lt;_author_adr&gt;Department of Gastroenterology, Saint Panteleimon General State Hospital, Nicea,  Greece. jkt@vodafone.net.gr&lt;/_author_adr&gt;&lt;_date_display&gt;2009 Jul&lt;/_date_display&gt;&lt;_date&gt;2009-07-01&lt;/_date&gt;&lt;_isbn&gt;1791-7530 (Electronic); 0250-7005 (Linking)&lt;/_isbn&gt;&lt;_issue&gt;7&lt;/_issue&gt;&lt;_journal&gt;Anticancer Res&lt;/_journal&gt;&lt;_language&gt;eng&lt;/_language&gt;&lt;_pages&gt;2727-37&lt;/_pages&gt;&lt;_subject_headings&gt;*Cell Transformation, Neoplastic; Colorectal Neoplasms/complications/*epidemiology/prevention &amp;amp; control; Humans; Incidence; Inflammatory Bowel Diseases/complications/*epidemiology; Risk Factors&lt;/_subject_headings&gt;&lt;_tertiary_title&gt;Anticancer research&lt;/_tertiary_title&gt;&lt;_type_work&gt;Journal Article; Review&lt;/_type_work&gt;&lt;_url&gt;http://www.ncbi.nlm.nih.gov/entrez/query.fcgi?cmd=Retrieve&amp;amp;db=pubmed&amp;amp;dopt=Abstract&amp;amp;list_uids=19596953&amp;amp;query_hl=1&lt;/_url&gt;&lt;_volume&gt;29&lt;/_volume&gt;&lt;_created&gt;64289650&lt;/_created&gt;&lt;_modified&gt;64289653&lt;/_modified&gt;&lt;_db_updated&gt;PubMed&lt;/_db_updated&gt;&lt;_impact_factor&gt;   2.480&lt;/_impact_factor&gt;&lt;_collection_scope&gt;SCI;SCIE&lt;/_collection_scope&gt;&lt;/Details&gt;&lt;Extra&gt;&lt;DBUID&gt;{80FCD0DE-45A7-4B42-9F5C-3A940A7F46F3}&lt;/DBUID&gt;&lt;/Extra&gt;&lt;/Item&gt;&lt;/References&gt;&lt;/Group&gt;&lt;/Citation&gt;_x000a_"/>
    <w:docVar w:name="NE.Ref{46E2335F-FA0D-4F33-ADE7-02745BC52EA2}" w:val=" ADDIN NE.Ref.{46E2335F-FA0D-4F33-ADE7-02745BC52EA2}&lt;Citation&gt;&lt;Group&gt;&lt;References&gt;&lt;Item&gt;&lt;ID&gt;115&lt;/ID&gt;&lt;UID&gt;{670D651A-60F1-4106-902D-99400A6C3AC3}&lt;/UID&gt;&lt;Title&gt;Colorectal cancer&lt;/Title&gt;&lt;Template&gt;Journal Article&lt;/Template&gt;&lt;Star&gt;0&lt;/Star&gt;&lt;Tag&gt;0&lt;/Tag&gt;&lt;Author&gt;Dekker, E; Tanis, P J; Vleugels, JLA; Kasi, P M; Wallace, M B&lt;/Author&gt;&lt;Year&gt;2019&lt;/Year&gt;&lt;Details&gt;&lt;_accession_num&gt;31631858&lt;/_accession_num&gt;&lt;_author_adr&gt;Department of Gastroenterology and Hepatology, Amsterdam University Medical Centers, Location Academic Medical Center, Amsterdam, Netherlands. Electronic address: e.dekker@amsterdamumc.nl.; Department of Surgery, Amsterdam University Medical Centers, Location Academic Medical Center, Amsterdam, Netherlands.; Department of Gastroenterology and Hepatology, Amsterdam University Medical Centers, Location Academic Medical Center, Amsterdam, Netherlands; Department of  Internal Medicine, Amsterdam University Medical Centers, Location Academic Medical Center, Amsterdam, Netherlands.; Department of Medical Oncology, University of Iowa, Iowa City, IA, USA.; Department of Gastroenterology and Hepatology, Mayo Clinic, Jacksonville, FL, USA.&lt;/_author_adr&gt;&lt;_collection_scope&gt;SCI;SCIE&lt;/_collection_scope&gt;&lt;_created&gt;63941697&lt;/_created&gt;&lt;_date&gt;2019-10-19&lt;/_date&gt;&lt;_date_display&gt;2019 Oct 19&lt;/_date_display&gt;&lt;_db_updated&gt;PubMed&lt;/_db_updated&gt;&lt;_doi&gt;10.1016/S0140-6736(19)32319-0&lt;/_doi&gt;&lt;_impact_factor&gt;  79.323&lt;/_impact_factor&gt;&lt;_isbn&gt;1474-547X (Electronic); 0140-6736 (Linking)&lt;/_isbn&gt;&lt;_issue&gt;10207&lt;/_issue&gt;&lt;_journal&gt;Lancet&lt;/_journal&gt;&lt;_language&gt;eng&lt;/_language&gt;&lt;_modified&gt;64338399&lt;/_modified&gt;&lt;_ori_publication&gt;Copyright (c) 2019 Elsevier Ltd. All rights reserved.&lt;/_ori_publication&gt;&lt;_pages&gt;1467-1480&lt;/_pages&gt;&lt;_subject_headings&gt;Colorectal Neoplasms/*diagnosis/epidemiology/*therapy; Humans&lt;/_subject_headings&gt;&lt;_tertiary_title&gt;Lancet (London, England)&lt;/_tertiary_title&gt;&lt;_type_work&gt;Journal Article; Review&lt;/_type_work&gt;&lt;_url&gt;http://www.ncbi.nlm.nih.gov/entrez/query.fcgi?cmd=Retrieve&amp;amp;db=pubmed&amp;amp;dopt=Abstract&amp;amp;list_uids=31631858&amp;amp;query_hl=1&lt;/_url&gt;&lt;_volume&gt;394&lt;/_volume&gt;&lt;/Details&gt;&lt;Extra&gt;&lt;DBUID&gt;{80FCD0DE-45A7-4B42-9F5C-3A940A7F46F3}&lt;/DBUID&gt;&lt;/Extra&gt;&lt;/Item&gt;&lt;/References&gt;&lt;/Group&gt;&lt;/Citation&gt;_x000a_"/>
    <w:docVar w:name="NE.Ref{471087B6-4DFF-4511-9567-8F16031DC242}" w:val=" ADDIN NE.Ref.{471087B6-4DFF-4511-9567-8F16031DC242}&lt;Citation&gt;&lt;Group&gt;&lt;References&gt;&lt;Item&gt;&lt;ID&gt;852&lt;/ID&gt;&lt;UID&gt;{88DD19CD-E00D-47B1-B87E-7231C1318620}&lt;/UID&gt;&lt;Title&gt;Release of carcinoembryonic antigen from human colon cancer cells by  phosphatidylinositol-specific phospholipase C&lt;/Title&gt;&lt;Template&gt;Journal Article&lt;/Template&gt;&lt;Star&gt;0&lt;/Star&gt;&lt;Tag&gt;0&lt;/Tag&gt;&lt;Author&gt;Sack, T L; Gum, J R; Low, M G; Kim, Y S&lt;/Author&gt;&lt;Year&gt;1988&lt;/Year&gt;&lt;Details&gt;&lt;_accession_num&gt;3042807&lt;/_accession_num&gt;&lt;_author_adr&gt;Gastrointestinal Research Laboratory, Veterans Administration Medical Center, San  Francisco, California 94121.&lt;/_author_adr&gt;&lt;_date_display&gt;1988 Aug&lt;/_date_display&gt;&lt;_date&gt;1988-08-01&lt;/_date&gt;&lt;_doi&gt;10.1172/JCI113636&lt;/_doi&gt;&lt;_isbn&gt;0021-9738 (Print); 0021-9738 (Linking)&lt;/_isbn&gt;&lt;_issue&gt;2&lt;/_issue&gt;&lt;_journal&gt;J Clin Invest&lt;/_journal&gt;&lt;_language&gt;eng&lt;/_language&gt;&lt;_pages&gt;586-93&lt;/_pages&gt;&lt;_subject_headings&gt;Carcinoembryonic Antigen/*analysis/metabolism; Cell Line; Cell Survival; Colonic Neoplasms/blood/immunology/*metabolism; Culture Media/analysis; Humans; Octoxynol; Peptide Hydrolases; *Phosphatidylinositols; Phospholipases; Polyethylene Glycols; Substrate Specificity; Tumor Cells, Cultured; Type C Phospholipases/*pharmacology&lt;/_subject_headings&gt;&lt;_tertiary_title&gt;The Journal of clinical investigation&lt;/_tertiary_title&gt;&lt;_type_work&gt;Comparative Study; Journal Article; Research Support, Non-U.S. Gov&amp;apos;t; Research Support, U.S. Gov&amp;apos;t, Non-P.H.S.; Research Support, U.S. Gov&amp;apos;t, P.H.S.&lt;/_type_work&gt;&lt;_url&gt;http://www.ncbi.nlm.nih.gov/entrez/query.fcgi?cmd=Retrieve&amp;amp;db=pubmed&amp;amp;dopt=Abstract&amp;amp;list_uids=3042807&amp;amp;query_hl=1&lt;/_url&gt;&lt;_volume&gt;82&lt;/_volume&gt;&lt;_created&gt;65012739&lt;/_created&gt;&lt;_modified&gt;65012745&lt;/_modified&gt;&lt;_db_updated&gt;PubMed&lt;/_db_updated&gt;&lt;_impact_factor&gt;  14.808&lt;/_impact_factor&gt;&lt;_collection_scope&gt;SCI;SCIE&lt;/_collection_scope&gt;&lt;/Details&gt;&lt;Extra&gt;&lt;DBUID&gt;{80FCD0DE-45A7-4B42-9F5C-3A940A7F46F3}&lt;/DBUID&gt;&lt;/Extra&gt;&lt;/Item&gt;&lt;/References&gt;&lt;/Group&gt;&lt;/Citation&gt;_x000a_"/>
    <w:docVar w:name="NE.Ref{47F091B1-A8BA-4B3E-B526-F89013BB7842}" w:val=" ADDIN NE.Ref.{47F091B1-A8BA-4B3E-B526-F89013BB7842}&lt;Citation&gt;&lt;Group&gt;&lt;References&gt;&lt;Item&gt;&lt;ID&gt;858&lt;/ID&gt;&lt;UID&gt;{DE970706-7E28-4C72-9216-CFF07D406AB3}&lt;/UID&gt;&lt;Title&gt;A highly-specific fully-human antibody and CAR-T cells targeting CD66e/CEACAM5  are cytotoxic for CD66e-expressing cancer cells in vitro and in vivo&lt;/Title&gt;&lt;Template&gt;Journal Article&lt;/Template&gt;&lt;Star&gt;0&lt;/Star&gt;&lt;Tag&gt;0&lt;/Tag&gt;&lt;Author&gt;Baek, D S; Kim, Y J; Vergara, S; Conard, A; Adams, C; Calero, G; Ishima, R; Mellors, J W; Dimitrov, D S&lt;/Author&gt;&lt;Year&gt;2022&lt;/Year&gt;&lt;Details&gt;&lt;_accession_num&gt;34740610&lt;/_accession_num&gt;&lt;_author_adr&gt;Center for Antibody Therapeutics, Division of Infectious Diseases, Department of  Medicine, University of Pittsburgh School of Medicine, Pittsburgh, PA, USA.  Electronic address: dub5@pitt.edu.; Center for Antibody Therapeutics, Division of Infectious Diseases, Department of  Medicine,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Department of Structural Biology,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Abound Bio, Pittsburgh, PA, USA. Electronic address: mit666666@pitt.edu.&lt;/_author_adr&gt;&lt;_collection_scope&gt;SCI;SCIE&lt;/_collection_scope&gt;&lt;_created&gt;65012902&lt;/_created&gt;&lt;_date&gt;2022-01-28&lt;/_date&gt;&lt;_date_display&gt;2022 Jan 28&lt;/_date_display&gt;&lt;_db_updated&gt;PubMed&lt;/_db_updated&gt;&lt;_doi&gt;10.1016/j.canlet.2021.10.041&lt;/_doi&gt;&lt;_impact_factor&gt;   8.679&lt;/_impact_factor&gt;&lt;_isbn&gt;1872-7980 (Electronic); 0304-3835 (Linking)&lt;/_isbn&gt;&lt;_journal&gt;Cancer Lett&lt;/_journal&gt;&lt;_keywords&gt;CD66e; CEA; CEACAM5; Immunotherapy; NEPC; Prostate cancer&lt;/_keywords&gt;&lt;_language&gt;eng&lt;/_language&gt;&lt;_modified&gt;65012903&lt;/_modified&gt;&lt;_ori_publication&gt;Copyright (c) 2021 Elsevier B.V. All rights reserved.&lt;/_ori_publication&gt;&lt;_pages&gt;97-107&lt;/_pages&gt;&lt;_subject_headings&gt;Animals; Antibodies, Anti-Idiotypic/immunology/pharmacology; Antibodies, Monoclonal/pharmacology; Antineoplastic Agents/immunology; Carcinoembryonic Antigen/*genetics/immunology/therapeutic use; Cell Proliferation/drug effects; GPI-Linked Proteins/genetics/immunology/therapeutic use; Gene Expression Regulation, Neoplastic/drug effects; Humans; Immunoglobulin G/immunology; Immunotherapy, Adoptive/trends; Male; Mice; Neuroendocrine Tumors/immunology/pathology/*therapy; Prostate/pathology/surgery; Prostatic Neoplasms/immunology/pathology/*therapy; Prostatic Neoplasms, Castration-Resistant/immunology/pathology/*therapy; Receptors, Chimeric Antigen/genetics/*immunology/therapeutic use&lt;/_subject_headings&gt;&lt;_tertiary_title&gt;Cancer letters&lt;/_tertiary_title&gt;&lt;_type_work&gt;Journal Article; Research Support, Non-U.S. Gov&amp;apos;t&lt;/_type_work&gt;&lt;_url&gt;http://www.ncbi.nlm.nih.gov/entrez/query.fcgi?cmd=Retrieve&amp;amp;db=pubmed&amp;amp;dopt=Abstract&amp;amp;list_uids=34740610&amp;amp;query_hl=1&lt;/_url&gt;&lt;_volume&gt;525&lt;/_volume&gt;&lt;/Details&gt;&lt;Extra&gt;&lt;DBUID&gt;{80FCD0DE-45A7-4B42-9F5C-3A940A7F46F3}&lt;/DBUID&gt;&lt;/Extra&gt;&lt;/Item&gt;&lt;/References&gt;&lt;/Group&gt;&lt;Group&gt;&lt;References&gt;&lt;Item&gt;&lt;ID&gt;920&lt;/ID&gt;&lt;UID&gt;{B3A48B67-D7CD-4486-A058-7B38B49E35C3}&lt;/UID&gt;&lt;Title&gt;Tumor regression and immunity in combination therapy with anti-CEA chimeric  antigen receptor T cells and anti-CEA-IL2 immunocytokine&lt;/Title&gt;&lt;Template&gt;Journal Article&lt;/Template&gt;&lt;Star&gt;0&lt;/Star&gt;&lt;Tag&gt;0&lt;/Tag&gt;&lt;Author&gt;Cha, S E; Kujawski, M; J, Yazaki P; Brown, C; Shively, J E&lt;/Author&gt;&lt;Year&gt;2021&lt;/Year&gt;&lt;Details&gt;&lt;_accession_num&gt;33796409&lt;/_accession_num&gt;&lt;_author_adr&gt;Department of Immunology and Theranostics, City of Hope, Duarte, USA.; Irell &amp;amp; Manella Graduate School of Biological Sciences, City of Hope, Duarte,  USA.; Department of Immunology and Theranostics, City of Hope, Duarte, USA.; Department of Immunology and Theranostics, City of Hope, Duarte, USA.; Irell &amp;amp; Manella Graduate School of Biological Sciences, City of Hope, Duarte,  USA.; Department of Hematology and Hematopoietic Cell Transplantation, City of Hope,  Duarte, USA.; T Cell Therapeutics Research Laboratory, City of Hope, Duarte, USA.; Department of Immunology and Theranostics, City of Hope, Duarte, USA.; Irell &amp;amp; Manella Graduate School of Biological Sciences, City of Hope, Duarte,  USA.&lt;/_author_adr&gt;&lt;_date_display&gt;2021 Mar 18&lt;/_date_display&gt;&lt;_date&gt;2021-03-18&lt;/_date&gt;&lt;_doi&gt;10.1080/2162402X.2021.1899469&lt;/_doi&gt;&lt;_isbn&gt;2162-402X (Electronic); 2162-4011 (Print); 2162-4011 (Linking)&lt;/_isbn&gt;&lt;_issue&gt;1&lt;/_issue&gt;&lt;_journal&gt;Oncoimmunology&lt;/_journal&gt;&lt;_keywords&gt;CEA transgenic mice; Carcinoembryonic antigen (CEA); chimeric antigen receptor T cells (CAR T); immunocytokine; lymphodepletion; tumor immunity&lt;/_keywords&gt;&lt;_language&gt;eng&lt;/_language&gt;&lt;_ori_publication&gt;(c) 2021 The Author(s). Published with license by Taylor &amp;amp; Francis Group, LLC.&lt;/_ori_publication&gt;&lt;_pages&gt;1899469&lt;/_pages&gt;&lt;_subject_headings&gt;Animals; Carcinoembryonic Antigen/genetics; *Immunotherapy, Adoptive; Interleukin-2; Mice; *Neoplasms/therapy; *Receptors, Chimeric Antigen; T-Lymphocytes&lt;/_subject_headings&gt;&lt;_tertiary_title&gt;Oncoimmunology&lt;/_tertiary_title&gt;&lt;_type_work&gt;Journal Article; Research Support, N.I.H., Extramural&lt;/_type_work&gt;&lt;_url&gt;http://www.ncbi.nlm.nih.gov/entrez/query.fcgi?cmd=Retrieve&amp;amp;db=pubmed&amp;amp;dopt=Abstract&amp;amp;list_uids=33796409&amp;amp;query_hl=1&lt;/_url&gt;&lt;_volume&gt;10&lt;/_volume&gt;&lt;_created&gt;65057617&lt;/_created&gt;&lt;_modified&gt;65057617&lt;/_modified&gt;&lt;_db_updated&gt;PubMed&lt;/_db_updated&gt;&lt;_impact_factor&gt;   8.110&lt;/_impact_factor&gt;&lt;_collection_scope&gt;SCIE&lt;/_collection_scope&gt;&lt;/Details&gt;&lt;Extra&gt;&lt;DBUID&gt;{80FCD0DE-45A7-4B42-9F5C-3A940A7F46F3}&lt;/DBUID&gt;&lt;/Extra&gt;&lt;/Item&gt;&lt;/References&gt;&lt;/Group&gt;&lt;/Citation&gt;_x000a_"/>
    <w:docVar w:name="NE.Ref{5800ED34-A86D-4367-965F-3F1F228697EC}" w:val=" ADDIN NE.Ref.{5800ED34-A86D-4367-965F-3F1F228697EC}&lt;Citation&gt;&lt;Group&gt;&lt;References&gt;&lt;Item&gt;&lt;ID&gt;859&lt;/ID&gt;&lt;UID&gt;{7FFC41A2-E889-46AA-81F1-09BBA512019C}&lt;/UID&gt;&lt;Title&gt;Phase I/II Trial of Labetuzumab Govitecan (Anti-CEACAM5/SN-38 Antibody-Drug  Conjugate) in Patients With Refractory or Relapsing Metastatic Colorectal Cancer&lt;/Title&gt;&lt;Template&gt;Journal Article&lt;/Template&gt;&lt;Star&gt;0&lt;/Star&gt;&lt;Tag&gt;0&lt;/Tag&gt;&lt;Author&gt;Dotan, E; Cohen, S J; Starodub, A N; Lieu, C H; Messersmith, W A; Simpson, P S; Guarino, M J; Marshall, J L; Goldberg, R M; Hecht, J R; Wegener, W A; Sharkey, R M; Govindan, S V; Goldenberg, D M; Berlin, J D&lt;/Author&gt;&lt;Year&gt;2017&lt;/Year&gt;&lt;Details&gt;&lt;_accession_num&gt;28817371&lt;/_accession_num&gt;&lt;_author_adr&gt;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lt;/_author_adr&gt;&lt;_collection_scope&gt;SCI;SCIE&lt;/_collection_scope&gt;&lt;_created&gt;65012903&lt;/_created&gt;&lt;_date&gt;2017-10-10&lt;/_date&gt;&lt;_date_display&gt;2017 Oct 10&lt;/_date_display&gt;&lt;_db_updated&gt;PubMed&lt;/_db_updated&gt;&lt;_doi&gt;10.1200/JCO.2017.73.9011&lt;/_doi&gt;&lt;_impact_factor&gt;  44.544&lt;/_impact_factor&gt;&lt;_isbn&gt;1527-7755 (Electronic); 0732-183X (Print); 0732-183X (Linking)&lt;/_isbn&gt;&lt;_issue&gt;29&lt;/_issue&gt;&lt;_journal&gt;J Clin Oncol&lt;/_journal&gt;&lt;_language&gt;eng&lt;/_language&gt;&lt;_modified&gt;65012904&lt;/_modified&gt;&lt;_pages&gt;3338-3346&lt;/_pages&gt;&lt;_subject_headings&gt;Adult; Aged; Aged, 80 and over; Antibodies, Monoclonal, Humanized/*administration &amp;amp; dosage/adverse _x000d__x000a_      effects/pharmacokinetics; Antineoplastic Agents/*administration &amp;amp; dosage/adverse effects/pharmacokinetics; Camptothecin/administration &amp;amp; dosage/adverse effects/*analogs &amp;amp; derivatives; Colorectal Neoplasms/*drug therapy/mortality/pathology; Disease Progression; Disease-Free Survival; Drug Administration Schedule; *Drug Resistance, Neoplasm; Female; Half-Life; Humans; Infusions, Intravenous; Irinotecan; Male; Middle Aged; Neoplasm Metastasis; Survival Analysis; Treatment Outcome&lt;/_subject_headings&gt;&lt;_tertiary_title&gt;Journal of clinical oncology : official journal of the American Society of _x000d__x000a_      Clinical Oncology&lt;/_tertiary_title&gt;&lt;_type_work&gt;Clinical Trial, Phase I; Clinical Trial, Phase II; Journal Article; Multicenter Study&lt;/_type_work&gt;&lt;_url&gt;http://www.ncbi.nlm.nih.gov/entrez/query.fcgi?cmd=Retrieve&amp;amp;db=pubmed&amp;amp;dopt=Abstract&amp;amp;list_uids=28817371&amp;amp;query_hl=1&lt;/_url&gt;&lt;_volume&gt;35&lt;/_volume&gt;&lt;/Details&gt;&lt;Extra&gt;&lt;DBUID&gt;{80FCD0DE-45A7-4B42-9F5C-3A940A7F46F3}&lt;/DBUID&gt;&lt;/Extra&gt;&lt;/Item&gt;&lt;/References&gt;&lt;/Group&gt;&lt;Group&gt;&lt;References&gt;&lt;Item&gt;&lt;ID&gt;865&lt;/ID&gt;&lt;UID&gt;{AF9C8116-51BD-41DE-9F1E-7AB9936FDC80}&lt;/UID&gt;&lt;Title&gt;Safety and effectiveness of SGM-101, a fluorescent antibody targeting  carcinoembryonic antigen, for intraoperative detection of colorectal cancer: a  dose-escalation pilot study&lt;/Title&gt;&lt;Template&gt;Journal Article&lt;/Template&gt;&lt;Star&gt;0&lt;/Star&gt;&lt;Tag&gt;0&lt;/Tag&gt;&lt;Author&gt;Boogerd, LSF; Hoogstins, CES; Schaap, D P; Kusters, M; Handgraaf, HJM; van der Valk, MJM; Hilling, D E; Holman, F A; Peeters, KCMJ; Mieog, JSD; van de Velde, CJH; Farina-Sarasqueta, A; van Lijnschoten, I; Framery, B; Pelegrin, A; Gutowski, M; Nienhuijs, S W; de Hingh, IHJT; Nieuwenhuijzen, GAP; Rutten, HJT; Cailler, F; Burggraaf, J; Vahrmeijer, A L&lt;/Author&gt;&lt;Year&gt;2018&lt;/Year&gt;&lt;Details&gt;&lt;_accession_num&gt;29361435&lt;/_accession_num&gt;&lt;_author_adr&gt;Department of Surgery, Leiden University Medical Center, Leiden, Netherlands.; Department of Surgery, Leiden University Medical Center, Leiden, Netherlands.; Department of Surgery, Catharina Hospital Eindhoven, Eindhoven, Netherlands.; Department of Surgery, Leiden University Medical Center, Leiden, Netherlands;  Department of Surgery, Catharina Hospital Eindhoven, Eindhov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Pathology, Leiden University Medical Center, Leiden, Netherlands.; Stichting PAMM, Eindhoven, Netherlands.; SurgiMab, Montpellier, France.; IRCM, Institut de Recherche en Cancerologie de Montpellier, Montpellier, France;  INSERM, U1194, Montpellier, France; Universite de Montpellier, Montpellier,  France; Institut regional du Cancer de Montpellier, ICM, Montpellier, France.; Institut regional du Cancer de Montpellier, ICM, Montpellier, France.; Department of Surgery, Catharina Hospital Eindhoven, Eindhoven, Netherlands.; Department of Surgery, Catharina Hospital Eindhoven, Eindhoven, Netherlands.; Department of Surgery, Catharina Hospital Eindhoven, Eindhoven, Netherlands.; Department of Surgery, Catharina Hospital Eindhoven, Eindhoven, Netherlands;  GROW, School Of Oncology and Developmental Biology, University of Maastricht,  Maastricht, Netherlands.; SurgiMab, Montpellier, France.; Centre for Human Drug Research, Leiden, Netherlands; Leiden Academic Center for  Drug Research, Leiden, Netherlands.; Department of Surgery, Leiden University Medical Center, Leiden, Netherlands.  Electronic address: a.l.vahrmeijer@lumc.nl.&lt;/_author_adr&gt;&lt;_created&gt;65018510&lt;/_created&gt;&lt;_date&gt;2018-03-01&lt;/_date&gt;&lt;_date_display&gt;2018 Mar&lt;/_date_display&gt;&lt;_db_updated&gt;PubMed&lt;/_db_updated&gt;&lt;_doi&gt;10.1016/S2468-1253(17)30395-3&lt;/_doi&gt;&lt;_impact_factor&gt;  18.486&lt;/_impact_factor&gt;&lt;_isbn&gt;2468-1253 (Electronic)&lt;/_isbn&gt;&lt;_issue&gt;3&lt;/_issue&gt;&lt;_journal&gt;Lancet Gastroenterol Hepatol&lt;/_journal&gt;&lt;_language&gt;eng&lt;/_language&gt;&lt;_modified&gt;65018511&lt;/_modified&gt;&lt;_ori_publication&gt;Copyright (c) 2018 Elsevier Ltd. All rights reserved.&lt;/_ori_publication&gt;&lt;_pages&gt;181-191&lt;/_pages&gt;&lt;_subject_headings&gt;Aged; Antibodies, Monoclonal/*administration &amp;amp; dosage/*adverse effects; Carcinoembryonic Antigen/blood/*immunology; Colorectal Neoplasms/*diagnostic imaging/pathology/surgery; Female; *Fluorescent Antibody Technique; Humans; Intraoperative Period; Male; Neoplasm Recurrence, Local/diagnostic imaging; Peritoneal Neoplasms/diagnostic imaging/secondary; Pilot Projects&lt;/_subject_headings&gt;&lt;_tertiary_title&gt;The lancet. Gastroenterology &amp;amp; hepatology&lt;/_tertiary_title&gt;&lt;_type_work&gt;Journal Article; Multicenter Study; Research Support, Non-U.S. Gov&amp;apos;t&lt;/_type_work&gt;&lt;_url&gt;http://www.ncbi.nlm.nih.gov/entrez/query.fcgi?cmd=Retrieve&amp;amp;db=pubmed&amp;amp;dopt=Abstract&amp;amp;list_uids=29361435&amp;amp;query_hl=1&lt;/_url&gt;&lt;_volume&gt;3&lt;/_volume&gt;&lt;/Details&gt;&lt;Extra&gt;&lt;DBUID&gt;{80FCD0DE-45A7-4B42-9F5C-3A940A7F46F3}&lt;/DBUID&gt;&lt;/Extra&gt;&lt;/Item&gt;&lt;/References&gt;&lt;/Group&gt;&lt;Group&gt;&lt;References&gt;&lt;Item&gt;&lt;ID&gt;858&lt;/ID&gt;&lt;UID&gt;{DE970706-7E28-4C72-9216-CFF07D406AB3}&lt;/UID&gt;&lt;Title&gt;A highly-specific fully-human antibody and CAR-T cells targeting CD66e/CEACAM5  are cytotoxic for CD66e-expressing cancer cells in vitro and in vivo&lt;/Title&gt;&lt;Template&gt;Journal Article&lt;/Template&gt;&lt;Star&gt;0&lt;/Star&gt;&lt;Tag&gt;0&lt;/Tag&gt;&lt;Author&gt;Baek, D S; Kim, Y J; Vergara, S; Conard, A; Adams, C; Calero, G; Ishima, R; Mellors, J W; Dimitrov, D S&lt;/Author&gt;&lt;Year&gt;2022&lt;/Year&gt;&lt;Details&gt;&lt;_accession_num&gt;34740610&lt;/_accession_num&gt;&lt;_author_adr&gt;Center for Antibody Therapeutics, Division of Infectious Diseases, Department of  Medicine, University of Pittsburgh School of Medicine, Pittsburgh, PA, USA.  Electronic address: dub5@pitt.edu.; Center for Antibody Therapeutics, Division of Infectious Diseases, Department of  Medicine,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Department of Structural Biology,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Abound Bio, Pittsburgh, PA, USA. Electronic address: mit666666@pitt.edu.&lt;/_author_adr&gt;&lt;_collection_scope&gt;SCI;SCIE&lt;/_collection_scope&gt;&lt;_created&gt;65012902&lt;/_created&gt;&lt;_date&gt;2022-01-28&lt;/_date&gt;&lt;_date_display&gt;2022 Jan 28&lt;/_date_display&gt;&lt;_db_updated&gt;PubMed&lt;/_db_updated&gt;&lt;_doi&gt;10.1016/j.canlet.2021.10.041&lt;/_doi&gt;&lt;_impact_factor&gt;   8.679&lt;/_impact_factor&gt;&lt;_isbn&gt;1872-7980 (Electronic); 0304-3835 (Linking)&lt;/_isbn&gt;&lt;_journal&gt;Cancer Lett&lt;/_journal&gt;&lt;_keywords&gt;CD66e; CEA; CEACAM5; Immunotherapy; NEPC; Prostate cancer&lt;/_keywords&gt;&lt;_language&gt;eng&lt;/_language&gt;&lt;_modified&gt;65012903&lt;/_modified&gt;&lt;_ori_publication&gt;Copyright (c) 2021 Elsevier B.V. All rights reserved.&lt;/_ori_publication&gt;&lt;_pages&gt;97-107&lt;/_pages&gt;&lt;_subject_headings&gt;Animals; Antibodies, Anti-Idiotypic/immunology/pharmacology; Antibodies, Monoclonal/pharmacology; Antineoplastic Agents/immunology; Carcinoembryonic Antigen/*genetics/immunology/therapeutic use; Cell Proliferation/drug effects; GPI-Linked Proteins/genetics/immunology/therapeutic use; Gene Expression Regulation, Neoplastic/drug effects; Humans; Immunoglobulin G/immunology; Immunotherapy, Adoptive/trends; Male; Mice; Neuroendocrine Tumors/immunology/pathology/*therapy; Prostate/pathology/surgery; Prostatic Neoplasms/immunology/pathology/*therapy; Prostatic Neoplasms, Castration-Resistant/immunology/pathology/*therapy; Receptors, Chimeric Antigen/genetics/*immunology/therapeutic use&lt;/_subject_headings&gt;&lt;_tertiary_title&gt;Cancer letters&lt;/_tertiary_title&gt;&lt;_type_work&gt;Journal Article; Research Support, Non-U.S. Gov&amp;apos;t&lt;/_type_work&gt;&lt;_url&gt;http://www.ncbi.nlm.nih.gov/entrez/query.fcgi?cmd=Retrieve&amp;amp;db=pubmed&amp;amp;dopt=Abstract&amp;amp;list_uids=34740610&amp;amp;query_hl=1&lt;/_url&gt;&lt;_volume&gt;525&lt;/_volume&gt;&lt;/Details&gt;&lt;Extra&gt;&lt;DBUID&gt;{80FCD0DE-45A7-4B42-9F5C-3A940A7F46F3}&lt;/DBUID&gt;&lt;/Extra&gt;&lt;/Item&gt;&lt;/References&gt;&lt;/Group&gt;&lt;Group&gt;&lt;References&gt;&lt;Item&gt;&lt;ID&gt;920&lt;/ID&gt;&lt;UID&gt;{B3A48B67-D7CD-4486-A058-7B38B49E35C3}&lt;/UID&gt;&lt;Title&gt;Tumor regression and immunity in combination therapy with anti-CEA chimeric  antigen receptor T cells and anti-CEA-IL2 immunocytokine&lt;/Title&gt;&lt;Template&gt;Journal Article&lt;/Template&gt;&lt;Star&gt;0&lt;/Star&gt;&lt;Tag&gt;0&lt;/Tag&gt;&lt;Author&gt;Cha, S E; Kujawski, M; J, Yazaki P; Brown, C; Shively, J E&lt;/Author&gt;&lt;Year&gt;2021&lt;/Year&gt;&lt;Details&gt;&lt;_accession_num&gt;33796409&lt;/_accession_num&gt;&lt;_author_adr&gt;Department of Immunology and Theranostics, City of Hope, Duarte, USA.; Irell &amp;amp; Manella Graduate School of Biological Sciences, City of Hope, Duarte,  USA.; Department of Immunology and Theranostics, City of Hope, Duarte, USA.; Department of Immunology and Theranostics, City of Hope, Duarte, USA.; Irell &amp;amp; Manella Graduate School of Biological Sciences, City of Hope, Duarte,  USA.; Department of Hematology and Hematopoietic Cell Transplantation, City of Hope,  Duarte, USA.; T Cell Therapeutics Research Laboratory, City of Hope, Duarte, USA.; Department of Immunology and Theranostics, City of Hope, Duarte, USA.; Irell &amp;amp; Manella Graduate School of Biological Sciences, City of Hope, Duarte,  USA.&lt;/_author_adr&gt;&lt;_date_display&gt;2021 Mar 18&lt;/_date_display&gt;&lt;_date&gt;2021-03-18&lt;/_date&gt;&lt;_doi&gt;10.1080/2162402X.2021.1899469&lt;/_doi&gt;&lt;_isbn&gt;2162-402X (Electronic); 2162-4011 (Print); 2162-4011 (Linking)&lt;/_isbn&gt;&lt;_issue&gt;1&lt;/_issue&gt;&lt;_journal&gt;Oncoimmunology&lt;/_journal&gt;&lt;_keywords&gt;CEA transgenic mice; Carcinoembryonic antigen (CEA); chimeric antigen receptor T cells (CAR T); immunocytokine; lymphodepletion; tumor immunity&lt;/_keywords&gt;&lt;_language&gt;eng&lt;/_language&gt;&lt;_ori_publication&gt;(c) 2021 The Author(s). Published with license by Taylor &amp;amp; Francis Group, LLC.&lt;/_ori_publication&gt;&lt;_pages&gt;1899469&lt;/_pages&gt;&lt;_subject_headings&gt;Animals; Carcinoembryonic Antigen/genetics; *Immunotherapy, Adoptive; Interleukin-2; Mice; *Neoplasms/therapy; *Receptors, Chimeric Antigen; T-Lymphocytes&lt;/_subject_headings&gt;&lt;_tertiary_title&gt;Oncoimmunology&lt;/_tertiary_title&gt;&lt;_type_work&gt;Journal Article; Research Support, N.I.H., Extramural&lt;/_type_work&gt;&lt;_url&gt;http://www.ncbi.nlm.nih.gov/entrez/query.fcgi?cmd=Retrieve&amp;amp;db=pubmed&amp;amp;dopt=Abstract&amp;amp;list_uids=33796409&amp;amp;query_hl=1&lt;/_url&gt;&lt;_volume&gt;10&lt;/_volume&gt;&lt;_created&gt;65057617&lt;/_created&gt;&lt;_modified&gt;65057617&lt;/_modified&gt;&lt;_db_updated&gt;PubMed&lt;/_db_updated&gt;&lt;_impact_factor&gt;   8.110&lt;/_impact_factor&gt;&lt;_collection_scope&gt;SCIE&lt;/_collection_scope&gt;&lt;/Details&gt;&lt;Extra&gt;&lt;DBUID&gt;{80FCD0DE-45A7-4B42-9F5C-3A940A7F46F3}&lt;/DBUID&gt;&lt;/Extra&gt;&lt;/Item&gt;&lt;/References&gt;&lt;/Group&gt;&lt;/Citation&gt;_x000a_"/>
    <w:docVar w:name="NE.Ref{5BC1A4A5-5DE9-4E9E-B24D-F30C2BE2B73A}" w:val=" ADDIN NE.Ref.{5BC1A4A5-5DE9-4E9E-B24D-F30C2BE2B73A}&lt;Citation&gt;&lt;Group&gt;&lt;References&gt;&lt;Item&gt;&lt;ID&gt;861&lt;/ID&gt;&lt;UID&gt;{AB3164DB-A008-4E2F-B09C-06C0E3673AB4}&lt;/UID&gt;&lt;Title&gt;Relation between Carcinoembryonic Antigen Levels in Colon Cancer Tissue and Serum  Carcinoembryonic Antigen Levels at Initial Surgery and Recurrence&lt;/Title&gt;&lt;Template&gt;Journal Article&lt;/Template&gt;&lt;Star&gt;0&lt;/Star&gt;&lt;Tag&gt;0&lt;/Tag&gt;&lt;Author&gt;Saito, G; Sadahiro, S; Okada, K; Tanaka, A; Suzuki, T; Kamijo, A&lt;/Author&gt;&lt;Year&gt;2016&lt;/Year&gt;&lt;Details&gt;&lt;_accession_num&gt;27260164&lt;/_accession_num&gt;&lt;_author_adr&gt;Department of Surgery, Tokai University School of Medicine, Kanagawa, Japan.&lt;/_author_adr&gt;&lt;_created&gt;65017137&lt;/_created&gt;&lt;_date&gt;2016-01-20&lt;/_date&gt;&lt;_date_display&gt;2016&lt;/_date_display&gt;&lt;_db_updated&gt;PubMed&lt;/_db_updated&gt;&lt;_doi&gt;10.1159/000447062&lt;/_doi&gt;&lt;_impact_factor&gt;   2.935&lt;/_impact_factor&gt;&lt;_isbn&gt;1423-0232 (Electronic); 0030-2414 (Linking)&lt;/_isbn&gt;&lt;_issue&gt;2&lt;/_issue&gt;&lt;_journal&gt;Oncology&lt;/_journal&gt;&lt;_language&gt;eng&lt;/_language&gt;&lt;_modified&gt;65017141&lt;/_modified&gt;&lt;_ori_publication&gt;(c) 2016 The Author(s) Published by S. Karger AG, Basel.&lt;/_ori_publication&gt;&lt;_pages&gt;85-9&lt;/_pages&gt;&lt;_subject_headings&gt;Aged; Carcinoembryonic Antigen/*analysis/blood; Colonic Neoplasms/*blood/*chemistry/pathology/surgery; Female; Humans; Male; Middle Aged; Neoplasm Metastasis; Neoplasm Recurrence, Local/*blood/*chemistry; Survival Rate; Tumor Microenvironment&lt;/_subject_headings&gt;&lt;_tertiary_title&gt;Oncology&lt;/_tertiary_title&gt;&lt;_type_work&gt;Journal Article&lt;/_type_work&gt;&lt;_url&gt;http://www.ncbi.nlm.nih.gov/entrez/query.fcgi?cmd=Retrieve&amp;amp;db=pubmed&amp;amp;dopt=Abstract&amp;amp;list_uids=27260164&amp;amp;query_hl=1&lt;/_url&gt;&lt;_volume&gt;91&lt;/_volume&gt;&lt;/Details&gt;&lt;Extra&gt;&lt;DBUID&gt;{80FCD0DE-45A7-4B42-9F5C-3A940A7F46F3}&lt;/DBUID&gt;&lt;/Extra&gt;&lt;/Item&gt;&lt;/References&gt;&lt;/Group&gt;&lt;/Citation&gt;_x000a_"/>
    <w:docVar w:name="NE.Ref{63DBE9FE-DB53-4BD8-8362-772ED67FEB0D}" w:val=" ADDIN NE.Ref.{63DBE9FE-DB53-4BD8-8362-772ED67FEB0D}&lt;Citation&gt;&lt;Group&gt;&lt;References&gt;&lt;Item&gt;&lt;ID&gt;836&lt;/ID&gt;&lt;UID&gt;{A05B61D3-C26C-4CBA-B7C3-711B347C459C}&lt;/UID&gt;&lt;Title&gt;Identification of a CEACAM5 targeted nanobody for positron emission tomography  imaging and near-infrared fluorescence imaging of colorectal cancer&lt;/Title&gt;&lt;Template&gt;Journal Article&lt;/Template&gt;&lt;Star&gt;0&lt;/Star&gt;&lt;Tag&gt;5&lt;/Tag&gt;&lt;Author&gt;Xiao, Y; Mei, C; Xu, D; Yang, F; Yang, M; Bi, L; Mao, J; Pang, P; Li, D&lt;/Author&gt;&lt;Year&gt;2023&lt;/Year&gt;&lt;Details&gt;&lt;_accession_num&gt;36914753&lt;/_accession_num&gt;&lt;_author_adr&gt;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Center for Interventional Medicine, The Fifth Affiliated Hospital, Sun Yat-Sen  University, Guangdong Province, 519000, China. maojunj@mail.sysu.edu.cn.; Center for Interventional Medicine, The Fifth Affiliated Hospital, Sun Yat-Sen  University, Guangdong Province, 519000, China. pangpf@mail.sysu.edu.cn.; Department of Nuclear Medicine, The Fifth Affiliated Hospital, Sun Yat-Sen  University, Guangdong Province, 519000, China. lidan25@mail.sysu.edu.cn.; Guangdong Provincial Key Laboratory of Biomedical Imaging and Guangdong  Provincial Engineering Research Center of Molecular Imaging, The Fifth Affiliated  Hospital, Sun Yat-Sen University, Guangdong Province, 519000, China.  lidan25@mail.sysu.edu.cn.&lt;/_author_adr&gt;&lt;_created&gt;64946401&lt;/_created&gt;&lt;_date&gt;2023-07-01&lt;/_date&gt;&lt;_date_display&gt;2023 Jul&lt;/_date_display&gt;&lt;_db_updated&gt;PubMed&lt;/_db_updated&gt;&lt;_doi&gt;10.1007/s00259-023-06183-7&lt;/_doi&gt;&lt;_impact_factor&gt;   9.236&lt;/_impact_factor&gt;&lt;_isbn&gt;1619-7089 (Electronic); 1619-7070 (Linking)&lt;/_isbn&gt;&lt;_issue&gt;8&lt;/_issue&gt;&lt;_journal&gt;Eur J Nucl Med Mol Imaging&lt;/_journal&gt;&lt;_keywords&gt;CEACAM5; Colorectal cancer; Nanobody; Near-infrared fluorescence imaging; Positron emission tomography imaging&lt;/_keywords&gt;&lt;_language&gt;eng&lt;/_language&gt;&lt;_modified&gt;64946401&lt;/_modified&gt;&lt;_ori_publication&gt;(c) 2023. The Author(s), under exclusive licence to Springer-Verlag GmbH Germany, _x000d__x000a_      part of Springer Nature.&lt;/_ori_publication&gt;&lt;_pages&gt;2305-2318&lt;/_pages&gt;&lt;_subject_headings&gt;Humans; Cell Line, Tumor; *Single-Domain Antibodies/metabolism; Positron-Emission Tomography; *Colorectal Neoplasms/diagnostic imaging; Optical Imaging; Carcinoembryonic Antigen; GPI-Linked Proteins&lt;/_subject_headings&gt;&lt;_tertiary_title&gt;European journal of nuclear medicine and molecular imaging&lt;/_tertiary_title&gt;&lt;_type_work&gt;Journal Article&lt;/_type_work&gt;&lt;_url&gt;http://www.ncbi.nlm.nih.gov/entrez/query.fcgi?cmd=Retrieve&amp;amp;db=pubmed&amp;amp;dopt=Abstract&amp;amp;list_uids=36914753&amp;amp;query_hl=1&lt;/_url&gt;&lt;_volume&gt;50&lt;/_volume&gt;&lt;/Details&gt;&lt;Extra&gt;&lt;DBUID&gt;{80FCD0DE-45A7-4B42-9F5C-3A940A7F46F3}&lt;/DBUID&gt;&lt;/Extra&gt;&lt;/Item&gt;&lt;/References&gt;&lt;/Group&gt;&lt;/Citation&gt;_x000a_"/>
    <w:docVar w:name="NE.Ref{67431B56-28C4-4349-B41F-5152E2D7C402}" w:val=" ADDIN NE.Ref.{67431B56-28C4-4349-B41F-5152E2D7C402}&lt;Citation&gt;&lt;Group&gt;&lt;References&gt;&lt;Item&gt;&lt;ID&gt;227&lt;/ID&gt;&lt;UID&gt;{EF447FC6-4705-4751-A5B2-CA2318EED205}&lt;/UID&gt;&lt;Title&gt;Updates in diagnosis and management of inflammatory bowel disease&lt;/Title&gt;&lt;Template&gt;Journal Article&lt;/Template&gt;&lt;Star&gt;0&lt;/Star&gt;&lt;Tag&gt;0&lt;/Tag&gt;&lt;Author&gt;Sandberg, K; Yarger, E; Saeed, S&lt;/Author&gt;&lt;Year&gt;2020&lt;/Year&gt;&lt;Details&gt;&lt;_accession_num&gt;32402535&lt;/_accession_num&gt;&lt;_author_adr&gt;Department of Pediatric Gastroenterology, Dayton Children&amp;apos;s Hospital, United States; Boonshoft School of Medicine, Wright State University, Dayton, OH, United States. Electronic address: sandbergk@childrensdayton.org.; Department of Pediatric Gastroenterology, Dayton Children&amp;apos;s Hospital, United States.; Department of Pediatric Gastroenterology, Dayton Children&amp;apos;s Hospital, United States; Boonshoft School of Medicine, Wright State University, Dayton, OH, United States.&lt;/_author_adr&gt;&lt;_date_display&gt;2020 May&lt;/_date_display&gt;&lt;_date&gt;2020-05-01&lt;/_date&gt;&lt;_doi&gt;10.1016/j.cppeds.2020.100785&lt;/_doi&gt;&lt;_isbn&gt;1538-3199 (Electronic); 1538-3199 (Linking)&lt;/_isbn&gt;&lt;_issue&gt;5&lt;/_issue&gt;&lt;_journal&gt;Curr Probl Pediatr Adolesc Health Care&lt;/_journal&gt;&lt;_language&gt;eng&lt;/_language&gt;&lt;_ori_publication&gt;Copyright (c) 2020. Published by Elsevier Inc.&lt;/_ori_publication&gt;&lt;_pages&gt;100785&lt;/_pages&gt;&lt;_subject_headings&gt;Biological Products/therapeutic use; Diet; Gastrointestinal Agents/therapeutic use; Humans; Immunologic Factors/therapeutic use; Inflammatory Bowel Diseases/complications/*diagnosis/drug therapy/*pathology; Pediatrics/*organization &amp;amp; administration; Phenotype; Primary Health Care; Self-Management&lt;/_subject_headings&gt;&lt;_tertiary_title&gt;Current problems in pediatric and adolescent health care&lt;/_tertiary_title&gt;&lt;_type_work&gt;Journal Article; Review&lt;/_type_work&gt;&lt;_url&gt;http://www.ncbi.nlm.nih.gov/entrez/query.fcgi?cmd=Retrieve&amp;amp;db=pubmed&amp;amp;dopt=Abstract&amp;amp;list_uids=32402535&amp;amp;query_hl=1&lt;/_url&gt;&lt;_volume&gt;50&lt;/_volume&gt;&lt;_created&gt;64289635&lt;/_created&gt;&lt;_modified&gt;64289636&lt;/_modified&gt;&lt;_db_updated&gt;PubMed&lt;/_db_updated&gt;&lt;/Details&gt;&lt;Extra&gt;&lt;DBUID&gt;{80FCD0DE-45A7-4B42-9F5C-3A940A7F46F3}&lt;/DBUID&gt;&lt;/Extra&gt;&lt;/Item&gt;&lt;/References&gt;&lt;/Group&gt;&lt;/Citation&gt;_x000a_"/>
    <w:docVar w:name="NE.Ref{73639345-2EDA-4724-961F-23D9ABC201B1}" w:val=" ADDIN NE.Ref.{73639345-2EDA-4724-961F-23D9ABC201B1}&lt;Citation&gt;&lt;Group&gt;&lt;References&gt;&lt;Item&gt;&lt;ID&gt;243&lt;/ID&gt;&lt;UID&gt;{9CBB4DAD-7AAC-41B4-B841-AED88060E5CB}&lt;/UID&gt;&lt;Title&gt;Tryptophan catabolites from microbiota engage aryl hydrocarbon receptor and balance mucosal reactivity via interleukin-22&lt;/Title&gt;&lt;Template&gt;Journal Article&lt;/Template&gt;&lt;Star&gt;0&lt;/Star&gt;&lt;Tag&gt;0&lt;/Tag&gt;&lt;Author&gt;Zelante, T; Iannitti, R G; Cunha, C; De Luca, A; Giovannini, G; Pieraccini, G; Zecchi, R; D&amp;apos;Angelo, C; Massi-Benedetti, C; Fallarino, F; Carvalho, A; Puccetti, P; Romani, L&lt;/Author&gt;&lt;Year&gt;2013&lt;/Year&gt;&lt;Details&gt;&lt;_accession_num&gt;23973224&lt;/_accession_num&gt;&lt;_author_adr&gt;Department of Experimental Medicine and Biochemical Sciences, University of Perugia, Perugia 06132, Italy.&lt;/_author_adr&gt;&lt;_date_display&gt;2013 Aug 22&lt;/_date_display&gt;&lt;_date&gt;2013-08-22&lt;/_date&gt;&lt;_doi&gt;10.1016/j.immuni.2013.08.003&lt;/_doi&gt;&lt;_isbn&gt;1097-4180 (Electronic); 1074-7613 (Linking)&lt;/_isbn&gt;&lt;_issue&gt;2&lt;/_issue&gt;&lt;_journal&gt;Immunity&lt;/_journal&gt;&lt;_language&gt;eng&lt;/_language&gt;&lt;_ori_publication&gt;Copyright (c) 2013 Elsevier Inc. All rights reserved.&lt;/_ori_publication&gt;&lt;_pages&gt;372-85&lt;/_pages&gt;&lt;_subject_headings&gt;Animals; Basic Helix-Loop-Helix Transcription Factors/deficiency/genetics; Candida albicans/*immunology; Candidiasis/immunology; Energy Metabolism; Female; Gastrointestinal Tract/immunology/metabolism/microbiology; Indoleamine-Pyrrole 2,3,-Dioxygenase/deficiency/genetics; Indoles/metabolism; Interleukin-17/deficiency/genetics; Interleukins/*metabolism; Lactobacillus reuteri/growth &amp;amp; development/immunology/*metabolism; Metagenome; Mice; Mice, Inbred BALB C; Mice, Inbred C3H; Mice, Inbred C57BL; Mice, Knockout; Mice, SCID; Myeloid Differentiation Factor 88/deficiency/genetics; Probiotics; Receptors, Aryl Hydrocarbon/deficiency/genetics/*metabolism; Toll-Like Receptor 2/deficiency/genetics; Tryptophan/chemistry/*metabolism&lt;/_subject_headings&gt;&lt;_tertiary_title&gt;Immunity&lt;/_tertiary_title&gt;&lt;_type_work&gt;Journal Article; Research Support, Non-U.S. Gov&amp;apos;t&lt;/_type_work&gt;&lt;_url&gt;http://www.ncbi.nlm.nih.gov/entrez/query.fcgi?cmd=Retrieve&amp;amp;db=pubmed&amp;amp;dopt=Abstract&amp;amp;list_uids=23973224&amp;amp;query_hl=1&lt;/_url&gt;&lt;_volume&gt;39&lt;/_volume&gt;&lt;_created&gt;64293020&lt;/_created&gt;&lt;_modified&gt;64293020&lt;/_modified&gt;&lt;_db_updated&gt;PubMed&lt;/_db_updated&gt;&lt;_impact_factor&gt;  31.745&lt;/_impact_factor&gt;&lt;_collection_scope&gt;SCI;SCIE&lt;/_collection_scope&gt;&lt;/Details&gt;&lt;Extra&gt;&lt;DBUID&gt;{80FCD0DE-45A7-4B42-9F5C-3A940A7F46F3}&lt;/DBUID&gt;&lt;/Extra&gt;&lt;/Item&gt;&lt;/References&gt;&lt;/Group&gt;&lt;/Citation&gt;_x000a_"/>
    <w:docVar w:name="NE.Ref{76FAD5F4-9970-4233-9F0B-6753003EFE71}" w:val=" ADDIN NE.Ref.{76FAD5F4-9970-4233-9F0B-6753003EFE71}&lt;Citation&gt;&lt;Group&gt;&lt;References&gt;&lt;Item&gt;&lt;ID&gt;234&lt;/ID&gt;&lt;UID&gt;{55114D81-0667-4EFD-B069-5499D2C4DA3D}&lt;/UID&gt;&lt;Title&gt;World Gastroenterology Organization Practice Guidelines for the diagnosis and management of IBD in 2010&lt;/Title&gt;&lt;Template&gt;Journal Article&lt;/Template&gt;&lt;Star&gt;0&lt;/Star&gt;&lt;Tag&gt;0&lt;/Tag&gt;&lt;Author&gt;Bernstein, C N; Fried, M; Krabshuis, J H; Cohen, H; Eliakim, R; Fedail, S; Gearry, R; Goh, K L; Hamid, S; Khan, A G; LeMair, A W; Malfertheiner; Ouyang, Q; Rey, J F; Sood, A; Steinwurz, F; Thomsen, O O; Thomson, A; Watermeyer, G&lt;/Author&gt;&lt;Year&gt;2010&lt;/Year&gt;&lt;Details&gt;&lt;_accession_num&gt;19653289&lt;/_accession_num&gt;&lt;_date_display&gt;2010 Jan&lt;/_date_display&gt;&lt;_date&gt;2010-01-01&lt;/_date&gt;&lt;_doi&gt;10.1002/ibd.21048&lt;/_doi&gt;&lt;_isbn&gt;1536-4844 (Electronic); 1078-0998 (Linking)&lt;/_isbn&gt;&lt;_issue&gt;1&lt;/_issue&gt;&lt;_journal&gt;Inflamm Bowel Dis&lt;/_journal&gt;&lt;_language&gt;eng&lt;/_language&gt;&lt;_pages&gt;112-24&lt;/_pages&gt;&lt;_subject_headings&gt;Gastroenterology/*organization &amp;amp; administration; Humans; Inflammatory Bowel Diseases/*diagnosis/*therapy; International Agencies; Societies, Medical/organization &amp;amp; administration&lt;/_subject_headings&gt;&lt;_tertiary_title&gt;Inflammatory bowel diseases&lt;/_tertiary_title&gt;&lt;_type_work&gt;Journal Article; Practice Guideline&lt;/_type_work&gt;&lt;_url&gt;http://www.ncbi.nlm.nih.gov/entrez/query.fcgi?cmd=Retrieve&amp;amp;db=pubmed&amp;amp;dopt=Abstract&amp;amp;list_uids=19653289&amp;amp;query_hl=1&lt;/_url&gt;&lt;_volume&gt;16&lt;/_volume&gt;&lt;_created&gt;64289685&lt;/_created&gt;&lt;_modified&gt;64289685&lt;/_modified&gt;&lt;_db_updated&gt;PubMed&lt;/_db_updated&gt;&lt;_impact_factor&gt;   5.325&lt;/_impact_factor&gt;&lt;_collection_scope&gt;SCI;SCIE&lt;/_collection_scope&gt;&lt;/Details&gt;&lt;Extra&gt;&lt;DBUID&gt;{80FCD0DE-45A7-4B42-9F5C-3A940A7F46F3}&lt;/DBUID&gt;&lt;/Extra&gt;&lt;/Item&gt;&lt;/References&gt;&lt;/Group&gt;&lt;/Citation&gt;_x000a_"/>
    <w:docVar w:name="NE.Ref{78D3280E-EE01-4606-9A2C-C1ECD3A0CC08}" w:val=" ADDIN NE.Ref.{78D3280E-EE01-4606-9A2C-C1ECD3A0CC08}&lt;Citation&gt;&lt;Group&gt;&lt;References&gt;&lt;Item&gt;&lt;ID&gt;187&lt;/ID&gt;&lt;UID&gt;{14E85046-30A3-49F2-A232-D23BB06F9A2D}&lt;/UID&gt;&lt;Title&gt;TNF and ROS Crosstalk in Inflammation&lt;/Title&gt;&lt;Template&gt;Journal Article&lt;/Template&gt;&lt;Star&gt;0&lt;/Star&gt;&lt;Tag&gt;0&lt;/Tag&gt;&lt;Author&gt;Blaser, H; Dostert, C; Mak, T W; Brenner, D&lt;/Author&gt;&lt;Year&gt;2016&lt;/Year&gt;&lt;Details&gt;&lt;_accession_num&gt;26791157&lt;/_accession_num&gt;&lt;_author_adr&gt;The Campbell Family Cancer Research Institute, Ontario Cancer Institute, University Health Network, Toronto, Ontario, Canada.; Department of Infection and Immunity, Experimental and Molecular Immunology, Luxembourg Institute of Health, 29, rue Henri Koch, 4354 Esch-sur-Alzette, Luxembourg.; The Campbell Family Cancer Research Institute, Ontario Cancer Institute, University Health Network, Toronto, Ontario, Canada; Department of Immunology, University of Toronto, Toronto, Ontario, Canada; Department of Medical Biophysics, Faculty of Medicine, University of Toronto, Toronto, Ontario, Canada.; Department of Infection and Immunity, Experimental and Molecular Immunology, Luxembourg Institute of Health, 29, rue Henri Koch, 4354 Esch-sur-Alzette, Luxembourg; Odense Research Center for Anaphylaxis (ORCA), Department of Dermatology and Allergy Center, Odense University Hospital, University of Southern Denmark, Odense, Denmark. Electronic address: dirk.brenner@lih.lu.&lt;/_author_adr&gt;&lt;_date_display&gt;2016 Apr&lt;/_date_display&gt;&lt;_date&gt;2016-04-01&lt;/_date&gt;&lt;_doi&gt;10.1016/j.tcb.2015.12.002&lt;/_doi&gt;&lt;_isbn&gt;1879-3088 (Electronic); 0962-8924 (Linking)&lt;/_isbn&gt;&lt;_issue&gt;4&lt;/_issue&gt;&lt;_journal&gt;Trends Cell Biol&lt;/_journal&gt;&lt;_keywords&gt;NADPH oxidase (NOX); immunity; inflammation; necroptosis; reactive oxygen species (ROS); tumor necrosis factor (TNF)&lt;/_keywords&gt;&lt;_language&gt;eng&lt;/_language&gt;&lt;_ori_publication&gt;Copyright (c) 2015 Elsevier Ltd. All rights reserved.&lt;/_ori_publication&gt;&lt;_pages&gt;249-261&lt;/_pages&gt;&lt;_subject_headings&gt;Animals; Apoptosis; Cell Survival; Gene Expression Regulation; Homeostasis/*immunology; Humans; Immunity, Innate; Inflammation/genetics/immunology/pathology; Lymphocytes/immunology/pathology; MAP Kinase Kinase 4/genetics/immunology; NF-kappa B/genetics/immunology; Necrosis/genetics/immunology/pathology; Reactive Nitrogen Species/*immunology; Reactive Oxygen Species/*immunology; Signal Transduction/*immunology; Tumor Necrosis Factor-alpha/genetics/*immunology&lt;/_subject_headings&gt;&lt;_tertiary_title&gt;Trends in cell biology&lt;/_tertiary_title&gt;&lt;_type_work&gt;Journal Article; Research Support, Non-U.S. Gov&amp;apos;t; Review&lt;/_type_work&gt;&lt;_url&gt;http://www.ncbi.nlm.nih.gov/entrez/query.fcgi?cmd=Retrieve&amp;amp;db=pubmed&amp;amp;dopt=Abstract&amp;amp;list_uids=26791157&amp;amp;query_hl=1&lt;/_url&gt;&lt;_volume&gt;26&lt;/_volume&gt;&lt;_created&gt;64283696&lt;/_created&gt;&lt;_modified&gt;64283696&lt;/_modified&gt;&lt;_db_updated&gt;PubMed&lt;/_db_updated&gt;&lt;_impact_factor&gt;  20.808&lt;/_impact_factor&gt;&lt;_collection_scope&gt;SCI;SCIE&lt;/_collection_scope&gt;&lt;/Details&gt;&lt;Extra&gt;&lt;DBUID&gt;{80FCD0DE-45A7-4B42-9F5C-3A940A7F46F3}&lt;/DBUID&gt;&lt;/Extra&gt;&lt;/Item&gt;&lt;/References&gt;&lt;/Group&gt;&lt;/Citation&gt;_x000a_"/>
    <w:docVar w:name="NE.Ref{86E51B6F-F523-4F05-8DEE-58472E4AE4FF}" w:val=" ADDIN NE.Ref.{86E51B6F-F523-4F05-8DEE-58472E4AE4FF}&lt;Citation&gt;&lt;Group&gt;&lt;References&gt;&lt;Item&gt;&lt;ID&gt;412&lt;/ID&gt;&lt;UID&gt;{C2CA6430-289C-4BF6-A70F-715490611BC4}&lt;/UID&gt;&lt;Title&gt;NIR-II Navigation with an EGFR-Targeted Probe Improves Imaging Resolution and Sensitivity of Detecting Micrometastases in Esophageal Squamous Cell Carcinoma Xenograft Models&lt;/Title&gt;&lt;Template&gt;Journal Article&lt;/Template&gt;&lt;Star&gt;0&lt;/Star&gt;&lt;Tag&gt;0&lt;/Tag&gt;&lt;Author&gt;Wang, L; Liang, M; Xiao, Y; Chen, J; Mei, C; Lin, Y; Zhang, Y; Li, D&lt;/Author&gt;&lt;Year&gt;2022&lt;/Year&gt;&lt;Details&gt;&lt;_accessed&gt;64830067&lt;/_accessed&gt;&lt;_accession_num&gt;35420035&lt;/_accession_num&gt;&lt;_author_adr&gt;Center for Interventional Medicine, The Fifth Affiliated Hospital, Sun Yat-sen University, Zhuhai, Guangdong 519000, China.; Department of Radiology, The Fifth Affiliated Hospital of Sun Yat-sen University, Zhuhai, Guangdong 519000, China.; Guangdong Provincial Key Laboratory of Biomedical Imaging and Guangdong Provincial Engineering Research Center of Molecular Imaging, The Fifth Affiliated Hospital, Sun Yat-sen University, Zhuhai, Guangdong 519000, China.; Department of Radiology, The Fifth Affiliated Hospital of Sun Yat-sen University, Zhuhai, Guangdong 519000, China.; Guangdong Provincial Key Laboratory of Biomedical Imaging and Guangdong Provincial Engineering Research Center of Molecular Imaging, The Fifth Affiliated Hospital, Sun Yat-sen University, Zhuhai, Guangdong 519000, China.; Guangdong Provincial Key Laboratory of Biomedical Imaging and Guangdong Provincial Engineering Research Center of Molecular Imaging, The Fifth Affiliated Hospital, Sun Yat-sen University, Zhuhai, Guangdong 519000, China.; Center for Interventional Medicine, The Fifth Affiliated Hospital, Sun Yat-sen University, Zhuhai, Guangdong 519000, China.; Guangdong Provincial Key Laboratory of Biomedical Imaging and Guangdong Provincial Engineering Research Center of Molecular Imaging, The Fifth Affiliated Hospital, Sun Yat-sen University, Zhuhai, Guangdong 519000, China.; Guangdong Provincial Key Laboratory of Biomedical Imaging and Guangdong Provincial Engineering Research Center of Molecular Imaging, The Fifth Affiliated Hospital, Sun Yat-sen University, Zhuhai, Guangdong 519000, China.; Department of Pathology, The Fifth Affiliated Hospital of Sun Yat-sen University, Zhuhai, Guangdong 519000, China.; Department of Radiology, The Fifth Affiliated Hospital of Sun Yat-sen University, Zhuhai, Guangdong 519000, China.; Guangdong Provincial Key Laboratory of Biomedical Imaging and Guangdong Provincial Engineering Research Center of Molecular Imaging, The Fifth Affiliated Hospital, Sun Yat-sen University, Zhuhai, Guangdong 519000, China.; Guangdong Provincial Key Laboratory of Biomedical Imaging and Guangdong Provincial Engineering Research Center of Molecular Imaging, The Fifth Affiliated Hospital, Sun Yat-sen University, Zhuhai, Guangdong 519000, China.&lt;/_author_adr&gt;&lt;_created&gt;64586056&lt;/_created&gt;&lt;_date&gt;2022-10-03&lt;/_date&gt;&lt;_date_display&gt;2022 Oct 3&lt;/_date_display&gt;&lt;_db_updated&gt;PubMed&lt;/_db_updated&gt;&lt;_doi&gt;10.1021/acs.molpharmaceut.2c00115&lt;/_doi&gt;&lt;_impact_factor&gt;   4.939&lt;/_impact_factor&gt;&lt;_isbn&gt;1543-8392 (Electronic); 1543-8384 (Linking)&lt;/_isbn&gt;&lt;_issue&gt;10&lt;/_issue&gt;&lt;_journal&gt;Mol Pharm&lt;/_journal&gt;&lt;_keywords&gt;epidermal growth factor receptor; esophageal squamous cell carcinoma; molecular imaging; near-infrared II window fluorescence; surgical navigation&lt;/_keywords&gt;&lt;_language&gt;eng&lt;/_language&gt;&lt;_modified&gt;64614071&lt;/_modified&gt;&lt;_pages&gt;3563-3575&lt;/_pages&gt;&lt;_subject_headings&gt;Animals; Cell Line, Tumor; Cetuximab; ErbB Receptors/metabolism; *Esophageal Neoplasms/diagnostic imaging/metabolism/pathology; *Esophageal Squamous Cell Carcinoma/diagnostic imaging; Female; Heterografts; Humans; Immunoglobulin G; Mice; Mice, Nude; Neoplasm Micrometastasis; *Ovarian Neoplasms&lt;/_subject_headings&gt;&lt;_tertiary_title&gt;Molecular pharmaceutics&lt;/_tertiary_title&gt;&lt;_type_work&gt;Journal Article&lt;/_type_work&gt;&lt;_url&gt;http://www.ncbi.nlm.nih.gov/entrez/query.fcgi?cmd=Retrieve&amp;amp;db=pubmed&amp;amp;dopt=Abstract&amp;amp;list_uids=35420035&amp;amp;query_hl=1&lt;/_url&gt;&lt;_volume&gt;19&lt;/_volume&gt;&lt;/Details&gt;&lt;Extra&gt;&lt;DBUID&gt;{80FCD0DE-45A7-4B42-9F5C-3A940A7F46F3}&lt;/DBUID&gt;&lt;/Extra&gt;&lt;/Item&gt;&lt;/References&gt;&lt;/Group&gt;&lt;/Citation&gt;_x000a_"/>
    <w:docVar w:name="NE.Ref{89EFE860-8698-42BD-9BE6-F5C156B90E73}" w:val=" ADDIN NE.Ref.{89EFE860-8698-42BD-9BE6-F5C156B90E73}&lt;Citation&gt;&lt;Group&gt;&lt;References&gt;&lt;Item&gt;&lt;ID&gt;856&lt;/ID&gt;&lt;UID&gt;{115D4B42-BB42-45E9-AACF-A724CDC223FA}&lt;/UID&gt;&lt;Title&gt;The role of tissue and serum carcinoembryonic antigen in stages I to III of  colorectal cancer-A retrospective cohort study&lt;/Title&gt;&lt;Template&gt;Journal Article&lt;/Template&gt;&lt;Star&gt;0&lt;/Star&gt;&lt;Tag&gt;0&lt;/Tag&gt;&lt;Author&gt;Tong, G; Xu, W; Zhang, G; Liu, J; Zheng, Z; Chen, Y; Niu, P; Xu, X&lt;/Author&gt;&lt;Year&gt;2018&lt;/Year&gt;&lt;Details&gt;&lt;_accession_num&gt;30302946&lt;/_accession_num&gt;&lt;_author_adr&gt;Department of Colorectal Surgery, Huzhou Central Hospital, Zhejiang, China.; Central Laboratory, Huzhou Central Hospital, Zhejiang, China.; Pathological Department, Huzhou Central Hospital, Zhejiang, China.; Department of Colorectal Surgery, Huzhou Central Hospital, Zhejiang, China.; Department of Colorectal Surgery, Huzhou Central Hospital, Zhejiang, China.; Department of Colorectal Surgery, Huzhou Central Hospital, Zhejiang, China.; Department of Colorectal Surgery, Huzhou Central Hospital, Zhejiang, China.; Central Laboratory, Huzhou Central Hospital, Zhejiang, China.; Central Laboratory, Huzhou Central Hospital, Zhejiang, China.&lt;/_author_adr&gt;&lt;_created&gt;65012879&lt;/_created&gt;&lt;_date&gt;2018-11-01&lt;/_date&gt;&lt;_date_display&gt;2018 Nov&lt;/_date_display&gt;&lt;_db_updated&gt;PubMed&lt;/_db_updated&gt;&lt;_doi&gt;10.1002/cam4.1814&lt;/_doi&gt;&lt;_impact_factor&gt;   4.452&lt;/_impact_factor&gt;&lt;_isbn&gt;2045-7634 (Electronic); 2045-7634 (Linking)&lt;/_isbn&gt;&lt;_issue&gt;11&lt;/_issue&gt;&lt;_journal&gt;Cancer Med&lt;/_journal&gt;&lt;_keywords&gt;carcinoembryonic antigen; colorectal carcinoma; prognosis&lt;/_keywords&gt;&lt;_language&gt;eng&lt;/_language&gt;&lt;_modified&gt;65012879&lt;/_modified&gt;&lt;_ori_publication&gt;(c) 2018 The Authors. Cancer Medicine published by John Wiley &amp;amp; Sons Ltd.&lt;/_ori_publication&gt;&lt;_pages&gt;5327-5338&lt;/_pages&gt;&lt;_subject_headings&gt;Adolescent; Adult; Aged; Aged, 80 and over; Carcinoembryonic Antigen/*blood/*metabolism; Colorectal Neoplasms/*blood/*metabolism/pathology; Female; Humans; Kaplan-Meier Estimate; Male; Middle Aged; Neoplasm Staging; Prognosis; Retrospective Studies; Young Adult&lt;/_subject_headings&gt;&lt;_tertiary_title&gt;Cancer medicine&lt;/_tertiary_title&gt;&lt;_type_work&gt;Journal Article; Research Support, Non-U.S. Gov&amp;apos;t&lt;/_type_work&gt;&lt;_url&gt;http://www.ncbi.nlm.nih.gov/entrez/query.fcgi?cmd=Retrieve&amp;amp;db=pubmed&amp;amp;dopt=Abstract&amp;amp;list_uids=30302946&amp;amp;query_hl=1&lt;/_url&gt;&lt;_volume&gt;7&lt;/_volume&gt;&lt;/Details&gt;&lt;Extra&gt;&lt;DBUID&gt;{80FCD0DE-45A7-4B42-9F5C-3A940A7F46F3}&lt;/DBUID&gt;&lt;/Extra&gt;&lt;/Item&gt;&lt;/References&gt;&lt;/Group&gt;&lt;Group&gt;&lt;References&gt;&lt;Item&gt;&lt;ID&gt;861&lt;/ID&gt;&lt;UID&gt;{AB3164DB-A008-4E2F-B09C-06C0E3673AB4}&lt;/UID&gt;&lt;Title&gt;Relation between Carcinoembryonic Antigen Levels in Colon Cancer Tissue and Serum  Carcinoembryonic Antigen Levels at Initial Surgery and Recurrence&lt;/Title&gt;&lt;Template&gt;Journal Article&lt;/Template&gt;&lt;Star&gt;0&lt;/Star&gt;&lt;Tag&gt;0&lt;/Tag&gt;&lt;Author&gt;Saito, G; Sadahiro, S; Okada, K; Tanaka, A; Suzuki, T; Kamijo, A&lt;/Author&gt;&lt;Year&gt;2016&lt;/Year&gt;&lt;Details&gt;&lt;_accession_num&gt;27260164&lt;/_accession_num&gt;&lt;_author_adr&gt;Department of Surgery, Tokai University School of Medicine, Kanagawa, Japan.&lt;/_author_adr&gt;&lt;_created&gt;65017137&lt;/_created&gt;&lt;_date&gt;2016-01-20&lt;/_date&gt;&lt;_date_display&gt;2016&lt;/_date_display&gt;&lt;_db_updated&gt;PubMed&lt;/_db_updated&gt;&lt;_doi&gt;10.1159/000447062&lt;/_doi&gt;&lt;_impact_factor&gt;   2.935&lt;/_impact_factor&gt;&lt;_isbn&gt;1423-0232 (Electronic); 0030-2414 (Linking)&lt;/_isbn&gt;&lt;_issue&gt;2&lt;/_issue&gt;&lt;_journal&gt;Oncology&lt;/_journal&gt;&lt;_language&gt;eng&lt;/_language&gt;&lt;_modified&gt;65017141&lt;/_modified&gt;&lt;_ori_publication&gt;(c) 2016 The Author(s) Published by S. Karger AG, Basel.&lt;/_ori_publication&gt;&lt;_pages&gt;85-9&lt;/_pages&gt;&lt;_subject_headings&gt;Aged; Carcinoembryonic Antigen/*analysis/blood; Colonic Neoplasms/*blood/*chemistry/pathology/surgery; Female; Humans; Male; Middle Aged; Neoplasm Metastasis; Neoplasm Recurrence, Local/*blood/*chemistry; Survival Rate; Tumor Microenvironment&lt;/_subject_headings&gt;&lt;_tertiary_title&gt;Oncology&lt;/_tertiary_title&gt;&lt;_type_work&gt;Journal Article&lt;/_type_work&gt;&lt;_url&gt;http://www.ncbi.nlm.nih.gov/entrez/query.fcgi?cmd=Retrieve&amp;amp;db=pubmed&amp;amp;dopt=Abstract&amp;amp;list_uids=27260164&amp;amp;query_hl=1&lt;/_url&gt;&lt;_volume&gt;91&lt;/_volume&gt;&lt;/Details&gt;&lt;Extra&gt;&lt;DBUID&gt;{80FCD0DE-45A7-4B42-9F5C-3A940A7F46F3}&lt;/DBUID&gt;&lt;/Extra&gt;&lt;/Item&gt;&lt;/References&gt;&lt;/Group&gt;&lt;Group&gt;&lt;References&gt;&lt;Item&gt;&lt;ID&gt;862&lt;/ID&gt;&lt;UID&gt;{E2E26274-FBDF-44B9-A89D-371192DF3223}&lt;/UID&gt;&lt;Title&gt;Clinical validity of tissue carcinoembryonic antigen expression as ancillary to  serum carcinoembryonic antigen concentration in patients curatively resected for  colorectal cancer&lt;/Title&gt;&lt;Template&gt;Journal Article&lt;/Template&gt;&lt;Star&gt;0&lt;/Star&gt;&lt;Tag&gt;0&lt;/Tag&gt;&lt;Author&gt;Park, J W; Chang, H J; Kim, B C; Yeo, H Y; Kim, D Y&lt;/Author&gt;&lt;Year&gt;2013&lt;/Year&gt;&lt;Details&gt;&lt;_accession_num&gt;23711333&lt;/_accession_num&gt;&lt;_author_adr&gt;Center for Colorectal Cancer, National Cancer Center, Goyang, Korea; Colorectal  Cancer Branch, Research Institute, National Cancer Center, Goyang, Korea.&lt;/_author_adr&gt;&lt;_collection_scope&gt;SCIE&lt;/_collection_scope&gt;&lt;_created&gt;65017142&lt;/_created&gt;&lt;_date&gt;2013-09-01&lt;/_date&gt;&lt;_date_display&gt;2013 Sep&lt;/_date_display&gt;&lt;_db_updated&gt;PubMed&lt;/_db_updated&gt;&lt;_doi&gt;10.1111/codi.12304&lt;/_doi&gt;&lt;_impact_factor&gt;   3.788&lt;/_impact_factor&gt;&lt;_isbn&gt;1463-1318 (Electronic); 1462-8910 (Linking)&lt;/_isbn&gt;&lt;_issue&gt;9&lt;/_issue&gt;&lt;_journal&gt;Colorectal Dis&lt;/_journal&gt;&lt;_keywords&gt;Colorectal neoplasm; carcinoembryonic antigen; immunohistochemistry; prognosis; surveillance&lt;/_keywords&gt;&lt;_language&gt;eng&lt;/_language&gt;&lt;_modified&gt;65017142&lt;/_modified&gt;&lt;_ori_publication&gt;Colorectal Disease (c) 2013 The Association of Coloproctology of Great Britain and _x000d__x000a_      Ireland.&lt;/_ori_publication&gt;&lt;_pages&gt;e503-11&lt;/_pages&gt;&lt;_subject_headings&gt;Biomarkers, Tumor/blood/*metabolism; Carcinoembryonic Antigen/blood/*metabolism; Carcinoma/blood/*metabolism/surgery; Cell Line, Tumor; Colorectal Neoplasms/blood/*metabolism/surgery; Disease-Free Survival; Female; Humans; Immunohistochemistry; Male; Middle Aged; Neoplasm Invasiveness; Prognosis; Proportional Hazards Models&lt;/_subject_headings&gt;&lt;_tertiary_title&gt;Colorectal disease : the official journal of the Association of Coloproctology of _x000d__x000a_      Great Britain and Ireland&lt;/_tertiary_title&gt;&lt;_type_work&gt;Journal Article; Research Support, Non-U.S. Gov&amp;apos;t&lt;/_type_work&gt;&lt;_url&gt;http://www.ncbi.nlm.nih.gov/entrez/query.fcgi?cmd=Retrieve&amp;amp;db=pubmed&amp;amp;dopt=Abstract&amp;amp;list_uids=23711333&amp;amp;query_hl=1&lt;/_url&gt;&lt;_volume&gt;15&lt;/_volume&gt;&lt;/Details&gt;&lt;Extra&gt;&lt;DBUID&gt;{80FCD0DE-45A7-4B42-9F5C-3A940A7F46F3}&lt;/DBUID&gt;&lt;/Extra&gt;&lt;/Item&gt;&lt;/References&gt;&lt;/Group&gt;&lt;/Citation&gt;_x000a_"/>
    <w:docVar w:name="NE.Ref{9107F5D9-79D9-4071-A3EF-135457A7A4DA}" w:val=" ADDIN NE.Ref.{9107F5D9-79D9-4071-A3EF-135457A7A4DA}&lt;Citation&gt;&lt;Group&gt;&lt;References&gt;&lt;Item&gt;&lt;ID&gt;243&lt;/ID&gt;&lt;UID&gt;{9CBB4DAD-7AAC-41B4-B841-AED88060E5CB}&lt;/UID&gt;&lt;Title&gt;Tryptophan catabolites from microbiota engage aryl hydrocarbon receptor and balance mucosal reactivity via interleukin-22&lt;/Title&gt;&lt;Template&gt;Journal Article&lt;/Template&gt;&lt;Star&gt;0&lt;/Star&gt;&lt;Tag&gt;0&lt;/Tag&gt;&lt;Author&gt;Zelante, T; Iannitti, R G; Cunha, C; De Luca, A; Giovannini, G; Pieraccini, G; Zecchi, R; D&amp;apos;Angelo, C; Massi-Benedetti, C; Fallarino, F; Carvalho, A; Puccetti, P; Romani, L&lt;/Author&gt;&lt;Year&gt;2013&lt;/Year&gt;&lt;Details&gt;&lt;_accession_num&gt;23973224&lt;/_accession_num&gt;&lt;_author_adr&gt;Department of Experimental Medicine and Biochemical Sciences, University of Perugia, Perugia 06132, Italy.&lt;/_author_adr&gt;&lt;_date_display&gt;2013 Aug 22&lt;/_date_display&gt;&lt;_date&gt;2013-08-22&lt;/_date&gt;&lt;_doi&gt;10.1016/j.immuni.2013.08.003&lt;/_doi&gt;&lt;_isbn&gt;1097-4180 (Electronic); 1074-7613 (Linking)&lt;/_isbn&gt;&lt;_issue&gt;2&lt;/_issue&gt;&lt;_journal&gt;Immunity&lt;/_journal&gt;&lt;_language&gt;eng&lt;/_language&gt;&lt;_ori_publication&gt;Copyright (c) 2013 Elsevier Inc. All rights reserved.&lt;/_ori_publication&gt;&lt;_pages&gt;372-85&lt;/_pages&gt;&lt;_subject_headings&gt;Animals; Basic Helix-Loop-Helix Transcription Factors/deficiency/genetics; Candida albicans/*immunology; Candidiasis/immunology; Energy Metabolism; Female; Gastrointestinal Tract/immunology/metabolism/microbiology; Indoleamine-Pyrrole 2,3,-Dioxygenase/deficiency/genetics; Indoles/metabolism; Interleukin-17/deficiency/genetics; Interleukins/*metabolism; Lactobacillus reuteri/growth &amp;amp; development/immunology/*metabolism; Metagenome; Mice; Mice, Inbred BALB C; Mice, Inbred C3H; Mice, Inbred C57BL; Mice, Knockout; Mice, SCID; Myeloid Differentiation Factor 88/deficiency/genetics; Probiotics; Receptors, Aryl Hydrocarbon/deficiency/genetics/*metabolism; Toll-Like Receptor 2/deficiency/genetics; Tryptophan/chemistry/*metabolism&lt;/_subject_headings&gt;&lt;_tertiary_title&gt;Immunity&lt;/_tertiary_title&gt;&lt;_type_work&gt;Journal Article; Research Support, Non-U.S. Gov&amp;apos;t&lt;/_type_work&gt;&lt;_url&gt;http://www.ncbi.nlm.nih.gov/entrez/query.fcgi?cmd=Retrieve&amp;amp;db=pubmed&amp;amp;dopt=Abstract&amp;amp;list_uids=23973224&amp;amp;query_hl=1&lt;/_url&gt;&lt;_volume&gt;39&lt;/_volume&gt;&lt;_created&gt;64293020&lt;/_created&gt;&lt;_modified&gt;64293020&lt;/_modified&gt;&lt;_db_updated&gt;PubMed&lt;/_db_updated&gt;&lt;_impact_factor&gt;  31.745&lt;/_impact_factor&gt;&lt;_collection_scope&gt;SCI;SCIE&lt;/_collection_scope&gt;&lt;/Details&gt;&lt;Extra&gt;&lt;DBUID&gt;{80FCD0DE-45A7-4B42-9F5C-3A940A7F46F3}&lt;/DBUID&gt;&lt;/Extra&gt;&lt;/Item&gt;&lt;/References&gt;&lt;/Group&gt;&lt;/Citation&gt;_x000a_"/>
    <w:docVar w:name="NE.Ref{96F4E534-AA98-4BD1-B4A5-EF25B16C68BA}" w:val=" ADDIN NE.Ref.{96F4E534-AA98-4BD1-B4A5-EF25B16C68BA}&lt;Citation&gt;&lt;Group&gt;&lt;References&gt;&lt;Item&gt;&lt;ID&gt;849&lt;/ID&gt;&lt;UID&gt;{9A5A1EDE-F32D-4AC1-A7C3-D5137CA8B3BB}&lt;/UID&gt;&lt;Title&gt;CEACAMs: their role in physiology and pathophysiology&lt;/Title&gt;&lt;Template&gt;Journal Article&lt;/Template&gt;&lt;Star&gt;0&lt;/Star&gt;&lt;Tag&gt;0&lt;/Tag&gt;&lt;Author&gt;Kuespert, K; Pils, S; Hauck, C R&lt;/Author&gt;&lt;Year&gt;2006&lt;/Year&gt;&lt;Details&gt;&lt;_accession_num&gt;16919437&lt;/_accession_num&gt;&lt;_author_adr&gt;Lehrstuhl Zellbiologie, Fachbereich Biologie X908, Universitat Konstanz,  Universitatsstrasse 10, 78457 Konstanz, Germany.&lt;/_author_adr&gt;&lt;_collection_scope&gt;SCI;SCIE&lt;/_collection_scope&gt;&lt;_created&gt;65011438&lt;/_created&gt;&lt;_date&gt;2006-10-01&lt;/_date&gt;&lt;_date_display&gt;2006 Oct&lt;/_date_display&gt;&lt;_db_updated&gt;PubMed&lt;/_db_updated&gt;&lt;_doi&gt;10.1016/j.ceb.2006.08.008&lt;/_doi&gt;&lt;_impact_factor&gt;   8.382&lt;/_impact_factor&gt;&lt;_isbn&gt;0955-0674 (Print); 1879-0410 (Electronic); 0955-0674 (Linking)&lt;/_isbn&gt;&lt;_issue&gt;5&lt;/_issue&gt;&lt;_journal&gt;Curr Opin Cell Biol&lt;/_journal&gt;&lt;_language&gt;eng&lt;/_language&gt;&lt;_modified&gt;65011439&lt;/_modified&gt;&lt;_pages&gt;565-71&lt;/_pages&gt;&lt;_subject_headings&gt;Animals; Animals, Genetically Modified; Antigens, CD/genetics/*metabolism; Bacteria/pathogenicity; Carcinoembryonic Antigen/metabolism; Cell Adhesion Molecules/genetics/*metabolism; Evolution, Molecular; Humans; Insulin/metabolism; Neoplasms/metabolism/pathology; Neovascularization, Physiologic; Protein Isoforms/genetics/*metabolism; Viruses/pathogenicity&lt;/_subject_headings&gt;&lt;_tertiary_title&gt;Current opinion in cell biology&lt;/_tertiary_title&gt;&lt;_type_work&gt;Journal Article; Research Support, Non-U.S. Gov&amp;apos;t; Review&lt;/_type_work&gt;&lt;_url&gt;http://www.ncbi.nlm.nih.gov/entrez/query.fcgi?cmd=Retrieve&amp;amp;db=pubmed&amp;amp;dopt=Abstract&amp;amp;list_uids=16919437&amp;amp;query_hl=1&lt;/_url&gt;&lt;_volume&gt;18&lt;/_volume&gt;&lt;/Details&gt;&lt;Extra&gt;&lt;DBUID&gt;{80FCD0DE-45A7-4B42-9F5C-3A940A7F46F3}&lt;/DBUID&gt;&lt;/Extra&gt;&lt;/Item&gt;&lt;/References&gt;&lt;/Group&gt;&lt;/Citation&gt;_x000a_"/>
    <w:docVar w:name="NE.Ref{98AD4B01-E0B7-469B-A91D-B05D08634128}" w:val=" ADDIN NE.Ref.{98AD4B01-E0B7-469B-A91D-B05D08634128}&lt;Citation&gt;&lt;Group&gt;&lt;References&gt;&lt;Item&gt;&lt;ID&gt;235&lt;/ID&gt;&lt;UID&gt;{8F420BC7-FB4A-4A54-9857-DEECB6817388}&lt;/UID&gt;&lt;Title&gt;From endoplasmic-reticulum stress to the inflammatory response&lt;/Title&gt;&lt;Template&gt;Journal Article&lt;/Template&gt;&lt;Star&gt;0&lt;/Star&gt;&lt;Tag&gt;0&lt;/Tag&gt;&lt;Author&gt;Zhang, K; Kaufman, R J&lt;/Author&gt;&lt;Year&gt;2008&lt;/Year&gt;&lt;Details&gt;&lt;_accession_num&gt;18650916&lt;/_accession_num&gt;&lt;_author_adr&gt;Department of Biological Chemistry, The University of Michigan Medical Center, 1150 West Medical Center Drive, Ann Arbor, Michigan 48109, USA.&lt;/_author_adr&gt;&lt;_date_display&gt;2008 Jul 24&lt;/_date_display&gt;&lt;_date&gt;2008-07-24&lt;/_date&gt;&lt;_doi&gt;10.1038/nature07203&lt;/_doi&gt;&lt;_isbn&gt;1476-4687 (Electronic); 0028-0836 (Linking)&lt;/_isbn&gt;&lt;_issue&gt;7203&lt;/_issue&gt;&lt;_journal&gt;Nature&lt;/_journal&gt;&lt;_language&gt;eng&lt;/_language&gt;&lt;_pages&gt;455-62&lt;/_pages&gt;&lt;_subject_headings&gt;Animals; Disease; Endoplasmic Reticulum/metabolism/*pathology; Humans; Inflammation/metabolism/*pathology; JNK Mitogen-Activated Protein Kinases/metabolism; NF-kappa B/metabolism; Protein Folding; Reactive Oxygen Species/metabolism&lt;/_subject_headings&gt;&lt;_tertiary_title&gt;Nature&lt;/_tertiary_title&gt;&lt;_type_work&gt;Journal Article; Research Support, N.I.H., Extramural; Research Support, Non-U.S. Gov&amp;apos;t; Review&lt;/_type_work&gt;&lt;_url&gt;http://www.ncbi.nlm.nih.gov/entrez/query.fcgi?cmd=Retrieve&amp;amp;db=pubmed&amp;amp;dopt=Abstract&amp;amp;list_uids=18650916&amp;amp;query_hl=1&lt;/_url&gt;&lt;_volume&gt;454&lt;/_volume&gt;&lt;_created&gt;64290791&lt;/_created&gt;&lt;_modified&gt;64290791&lt;/_modified&gt;&lt;_db_updated&gt;PubMed&lt;/_db_updated&gt;&lt;_impact_factor&gt;  49.962&lt;/_impact_factor&gt;&lt;_collection_scope&gt;SCI;SCIE&lt;/_collection_scope&gt;&lt;/Details&gt;&lt;Extra&gt;&lt;DBUID&gt;{80FCD0DE-45A7-4B42-9F5C-3A940A7F46F3}&lt;/DBUID&gt;&lt;/Extra&gt;&lt;/Item&gt;&lt;/References&gt;&lt;/Group&gt;&lt;/Citation&gt;_x000a_"/>
    <w:docVar w:name="NE.Ref{9D0267E6-3969-4342-8727-FE872F797D05}" w:val=" ADDIN NE.Ref.{9D0267E6-3969-4342-8727-FE872F797D05}&lt;Citation&gt;&lt;Group&gt;&lt;References&gt;&lt;Item&gt;&lt;ID&gt;856&lt;/ID&gt;&lt;UID&gt;{115D4B42-BB42-45E9-AACF-A724CDC223FA}&lt;/UID&gt;&lt;Title&gt;The role of tissue and serum carcinoembryonic antigen in stages I to III of  colorectal cancer-A retrospective cohort study&lt;/Title&gt;&lt;Template&gt;Journal Article&lt;/Template&gt;&lt;Star&gt;0&lt;/Star&gt;&lt;Tag&gt;0&lt;/Tag&gt;&lt;Author&gt;Tong, G; Xu, W; Zhang, G; Liu, J; Zheng, Z; Chen, Y; Niu, P; Xu, X&lt;/Author&gt;&lt;Year&gt;2018&lt;/Year&gt;&lt;Details&gt;&lt;_accession_num&gt;30302946&lt;/_accession_num&gt;&lt;_author_adr&gt;Department of Colorectal Surgery, Huzhou Central Hospital, Zhejiang, China.; Central Laboratory, Huzhou Central Hospital, Zhejiang, China.; Pathological Department, Huzhou Central Hospital, Zhejiang, China.; Department of Colorectal Surgery, Huzhou Central Hospital, Zhejiang, China.; Department of Colorectal Surgery, Huzhou Central Hospital, Zhejiang, China.; Department of Colorectal Surgery, Huzhou Central Hospital, Zhejiang, China.; Department of Colorectal Surgery, Huzhou Central Hospital, Zhejiang, China.; Central Laboratory, Huzhou Central Hospital, Zhejiang, China.; Central Laboratory, Huzhou Central Hospital, Zhejiang, China.&lt;/_author_adr&gt;&lt;_created&gt;65012879&lt;/_created&gt;&lt;_date&gt;2018-11-01&lt;/_date&gt;&lt;_date_display&gt;2018 Nov&lt;/_date_display&gt;&lt;_db_updated&gt;PubMed&lt;/_db_updated&gt;&lt;_doi&gt;10.1002/cam4.1814&lt;/_doi&gt;&lt;_impact_factor&gt;   4.452&lt;/_impact_factor&gt;&lt;_isbn&gt;2045-7634 (Electronic); 2045-7634 (Linking)&lt;/_isbn&gt;&lt;_issue&gt;11&lt;/_issue&gt;&lt;_journal&gt;Cancer Med&lt;/_journal&gt;&lt;_keywords&gt;carcinoembryonic antigen; colorectal carcinoma; prognosis&lt;/_keywords&gt;&lt;_language&gt;eng&lt;/_language&gt;&lt;_modified&gt;65012879&lt;/_modified&gt;&lt;_ori_publication&gt;(c) 2018 The Authors. Cancer Medicine published by John Wiley &amp;amp; Sons Ltd.&lt;/_ori_publication&gt;&lt;_pages&gt;5327-5338&lt;/_pages&gt;&lt;_subject_headings&gt;Adolescent; Adult; Aged; Aged, 80 and over; Carcinoembryonic Antigen/*blood/*metabolism; Colorectal Neoplasms/*blood/*metabolism/pathology; Female; Humans; Kaplan-Meier Estimate; Male; Middle Aged; Neoplasm Staging; Prognosis; Retrospective Studies; Young Adult&lt;/_subject_headings&gt;&lt;_tertiary_title&gt;Cancer medicine&lt;/_tertiary_title&gt;&lt;_type_work&gt;Journal Article; Research Support, Non-U.S. Gov&amp;apos;t&lt;/_type_work&gt;&lt;_url&gt;http://www.ncbi.nlm.nih.gov/entrez/query.fcgi?cmd=Retrieve&amp;amp;db=pubmed&amp;amp;dopt=Abstract&amp;amp;list_uids=30302946&amp;amp;query_hl=1&lt;/_url&gt;&lt;_volume&gt;7&lt;/_volume&gt;&lt;/Details&gt;&lt;Extra&gt;&lt;DBUID&gt;{80FCD0DE-45A7-4B42-9F5C-3A940A7F46F3}&lt;/DBUID&gt;&lt;/Extra&gt;&lt;/Item&gt;&lt;/References&gt;&lt;/Group&gt;&lt;Group&gt;&lt;References&gt;&lt;Item&gt;&lt;ID&gt;857&lt;/ID&gt;&lt;UID&gt;{11D1C579-E323-46DA-BEA2-D13A0A6334E1}&lt;/UID&gt;&lt;Title&gt;Distribution of carcinoembryonic antigen and biologic behavior in colorectal  carcinoma&lt;/Title&gt;&lt;Template&gt;Journal Article&lt;/Template&gt;&lt;Star&gt;0&lt;/Star&gt;&lt;Tag&gt;0&lt;/Tag&gt;&lt;Author&gt;Kim, J C; Han, M S; Lee, H K; Kim, W S; Park, S K; Park, K C; Bodmer, W F; Rowan, A J; Kim, O J&lt;/Author&gt;&lt;Year&gt;1999&lt;/Year&gt;&lt;Details&gt;&lt;_accession_num&gt;10344687&lt;/_accession_num&gt;&lt;_author_adr&gt;Department of Surgery, University of Ulsan College of Medicine, Seoul, Korea.&lt;/_author_adr&gt;&lt;_collection_scope&gt;SCI;SCIE&lt;/_collection_scope&gt;&lt;_created&gt;65012880&lt;/_created&gt;&lt;_date&gt;1999-05-01&lt;/_date&gt;&lt;_date_display&gt;1999 May&lt;/_date_display&gt;&lt;_db_updated&gt;PubMed&lt;/_db_updated&gt;&lt;_doi&gt;10.1007/BF02234143&lt;/_doi&gt;&lt;_impact_factor&gt;   4.785&lt;/_impact_factor&gt;&lt;_isbn&gt;0012-3706 (Print); 0012-3706 (Linking)&lt;/_isbn&gt;&lt;_issue&gt;5&lt;/_issue&gt;&lt;_journal&gt;Dis Colon Rectum&lt;/_journal&gt;&lt;_language&gt;eng&lt;/_language&gt;&lt;_modified&gt;65012880&lt;/_modified&gt;&lt;_pages&gt;640-8&lt;/_pages&gt;&lt;_subject_headings&gt;Adenocarcinoma/blood/chemistry/*pathology; Adult; Aged; Aged, 80 and over; Analysis of Variance; Carcinoembryonic Antigen/*analysis/blood; Chi-Square Distribution; Colorectal Neoplasms/blood/chemistry/*pathology; Disease-Free Survival; Female; Humans; Immunoenzyme Techniques; Lymphatic Metastasis; Male; Middle Aged; Neoplasm Invasiveness; Neoplasm Recurrence, Local; Neoplasm Staging; Regression Analysis&lt;/_subject_headings&gt;&lt;_tertiary_title&gt;Diseases of the colon and rectum&lt;/_tertiary_title&gt;&lt;_type_work&gt;Journal Article; Research Support, Non-U.S. Gov&amp;apos;t&lt;/_type_work&gt;&lt;_url&gt;http://www.ncbi.nlm.nih.gov/entrez/query.fcgi?cmd=Retrieve&amp;amp;db=pubmed&amp;amp;dopt=Abstract&amp;amp;list_uids=10344687&amp;amp;query_hl=1&lt;/_url&gt;&lt;_volume&gt;42&lt;/_volume&gt;&lt;/Details&gt;&lt;Extra&gt;&lt;DBUID&gt;{80FCD0DE-45A7-4B42-9F5C-3A940A7F46F3}&lt;/DBUID&gt;&lt;/Extra&gt;&lt;/Item&gt;&lt;/References&gt;&lt;/Group&gt;&lt;/Citation&gt;_x000a_"/>
    <w:docVar w:name="NE.Ref{9FF543E6-DB81-4352-9A3F-7D59CCA366AA}" w:val=" ADDIN NE.Ref.{9FF543E6-DB81-4352-9A3F-7D59CCA366AA}&lt;Citation&gt;&lt;Group&gt;&lt;References&gt;&lt;Item&gt;&lt;ID&gt;196&lt;/ID&gt;&lt;UID&gt;{F6990DD4-C292-4998-B173-DFB85143E093}&lt;/UID&gt;&lt;Title&gt;Effects of alpha-eleostearic acid on asolectin liposomes dynamics: relevance to its antioxidant activity&lt;/Title&gt;&lt;Template&gt;Journal Article&lt;/Template&gt;&lt;Star&gt;0&lt;/Star&gt;&lt;Tag&gt;0&lt;/Tag&gt;&lt;Author&gt;de Sousa, R S; de Moraes, Nogueira AO; Marques, V G; Clementin, R M; de Lima, V R&lt;/Author&gt;&lt;Year&gt;2013&lt;/Year&gt;&lt;Details&gt;&lt;_accession_num&gt;24076476&lt;/_accession_num&gt;&lt;_author_adr&gt;Research Group of Membrane Molecular Interactions, School of Chemical and Food Engineering, Post-graduation Program in Technological and Environmental Chemistry, Federal University of Rio Grande, Av. Italia, km 8, Campus Carreiros,  Rio Grande-RS 96203-900, Brazil.&lt;/_author_adr&gt;&lt;_date_display&gt;2013 Dec&lt;/_date_display&gt;&lt;_date&gt;2013-12-01&lt;/_date&gt;&lt;_doi&gt;10.1016/j.bioorg.2013.08.004&lt;/_doi&gt;&lt;_isbn&gt;1090-2120 (Electronic); 0045-2068 (Linking)&lt;/_isbn&gt;&lt;_journal&gt;Bioorg Chem&lt;/_journal&gt;&lt;_keywords&gt;()OH; ASO; Asolectin; DSC; FTIR; Fourier transform infrared spectroscopy; HATR-FTIR; Hydroxyl radical; Lipid peroxidation; Liposomes; MLV; NMR; S.D.; SPC; TBARS; TCA; correlation time; differential scanning calorimetry; enthalpy variation; horizontal attenuated total reflection-Fourier transform infrared spectroscopy; hydroxyl radical; multilamellar large vesicles; nuclear magnetic resonance; soybean asolectin; soybean phosphatidylcholine; standard deviation; stretching vibration; thiobarbituric acid reactive substances; trichloroacetic acid; DeltaH; alpha-ESA; alpha-Eleostearic acid; alpha-eleostearic acid; nu; tau&lt;/_keywords&gt;&lt;_language&gt;eng&lt;/_language&gt;&lt;_ori_publication&gt;Copyright (c) 2013 Elsevier Inc. All rights reserved.&lt;/_ori_publication&gt;&lt;_pages&gt;8-15&lt;/_pages&gt;&lt;_subject_headings&gt;Antioxidants/chemistry/*pharmacology; Hydroxyl Radical/antagonists &amp;amp; inhibitors/chemistry/metabolism; Linolenic Acids/chemistry/*pharmacology; Lipid Peroxidation/drug effects; Liposomes/chemistry/*metabolism; Phosphatidylcholines/chemistry/*metabolism; Soybeans/*chemistry/metabolism; *Thermodynamics&lt;/_subject_headings&gt;&lt;_tertiary_title&gt;Bioorganic chemistry&lt;/_tertiary_title&gt;&lt;_type_work&gt;Journal Article; Research Support, Non-U.S. Gov&amp;apos;t&lt;/_type_work&gt;&lt;_url&gt;http://www.ncbi.nlm.nih.gov/entrez/query.fcgi?cmd=Retrieve&amp;amp;db=pubmed&amp;amp;dopt=Abstract&amp;amp;list_uids=24076476&amp;amp;query_hl=1&lt;/_url&gt;&lt;_volume&gt;51&lt;/_volume&gt;&lt;_created&gt;64284397&lt;/_created&gt;&lt;_modified&gt;64284398&lt;/_modified&gt;&lt;_db_updated&gt;PubMed&lt;/_db_updated&gt;&lt;_impact_factor&gt;   5.275&lt;/_impact_factor&gt;&lt;_collection_scope&gt;SCI;SCIE&lt;/_collection_scope&gt;&lt;/Details&gt;&lt;Extra&gt;&lt;DBUID&gt;{80FCD0DE-45A7-4B42-9F5C-3A940A7F46F3}&lt;/DBUID&gt;&lt;/Extra&gt;&lt;/Item&gt;&lt;/References&gt;&lt;/Group&gt;&lt;/Citation&gt;_x000a_"/>
    <w:docVar w:name="NE.Ref{A2871FF2-2083-4034-908B-B9DFB2B1B831}" w:val=" ADDIN NE.Ref.{A2871FF2-2083-4034-908B-B9DFB2B1B831}&lt;Citation&gt;&lt;Group&gt;&lt;References&gt;&lt;Item&gt;&lt;ID&gt;858&lt;/ID&gt;&lt;UID&gt;{DE970706-7E28-4C72-9216-CFF07D406AB3}&lt;/UID&gt;&lt;Title&gt;A highly-specific fully-human antibody and CAR-T cells targeting CD66e/CEACAM5  are cytotoxic for CD66e-expressing cancer cells in vitro and in vivo&lt;/Title&gt;&lt;Template&gt;Journal Article&lt;/Template&gt;&lt;Star&gt;0&lt;/Star&gt;&lt;Tag&gt;0&lt;/Tag&gt;&lt;Author&gt;Baek, D S; Kim, Y J; Vergara, S; Conard, A; Adams, C; Calero, G; Ishima, R; Mellors, J W; Dimitrov, D S&lt;/Author&gt;&lt;Year&gt;2022&lt;/Year&gt;&lt;Details&gt;&lt;_accession_num&gt;34740610&lt;/_accession_num&gt;&lt;_author_adr&gt;Center for Antibody Therapeutics, Division of Infectious Diseases, Department of  Medicine, University of Pittsburgh School of Medicine, Pittsburgh, PA, USA.  Electronic address: dub5@pitt.edu.; Center for Antibody Therapeutics, Division of Infectious Diseases, Department of  Medicine,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Department of Structural Biology, University of Pittsburgh School of Medicine,  Pittsburgh, PA, USA.; Department of Structural Biology, University of Pittsburgh School of Medicine,  Pittsburgh, PA, USA.; Center for Antibody Therapeutics, Division of Infectious Diseases, Department of  Medicine, University of Pittsburgh School of Medicine, Pittsburgh, PA, USA;  Abound Bio, Pittsburgh, PA, USA.; Center for Antibody Therapeutics, Division of Infectious Diseases, Department of  Medicine, University of Pittsburgh School of Medicine, Pittsburgh, PA, USA;  Abound Bio, Pittsburgh, PA, USA. Electronic address: mit666666@pitt.edu.&lt;/_author_adr&gt;&lt;_date_display&gt;2022 Jan 28&lt;/_date_display&gt;&lt;_date&gt;2022-01-28&lt;/_date&gt;&lt;_doi&gt;10.1016/j.canlet.2021.10.041&lt;/_doi&gt;&lt;_isbn&gt;1872-7980 (Electronic); 0304-3835 (Linking)&lt;/_isbn&gt;&lt;_journal&gt;Cancer Lett&lt;/_journal&gt;&lt;_keywords&gt;CD66e; CEA; CEACAM5; Immunotherapy; NEPC; Prostate cancer&lt;/_keywords&gt;&lt;_language&gt;eng&lt;/_language&gt;&lt;_ori_publication&gt;Copyright (c) 2021 Elsevier B.V. All rights reserved.&lt;/_ori_publication&gt;&lt;_pages&gt;97-107&lt;/_pages&gt;&lt;_subject_headings&gt;Animals; Antibodies, Anti-Idiotypic/immunology/pharmacology; Antibodies, Monoclonal/pharmacology; Antineoplastic Agents/immunology; Carcinoembryonic Antigen/*genetics/immunology/therapeutic use; Cell Proliferation/drug effects; GPI-Linked Proteins/genetics/immunology/therapeutic use; Gene Expression Regulation, Neoplastic/drug effects; Humans; Immunoglobulin G/immunology; Immunotherapy, Adoptive/trends; Male; Mice; Neuroendocrine Tumors/immunology/pathology/*therapy; Prostate/pathology/surgery; Prostatic Neoplasms/immunology/pathology/*therapy; Prostatic Neoplasms, Castration-Resistant/immunology/pathology/*therapy; Receptors, Chimeric Antigen/genetics/*immunology/therapeutic use&lt;/_subject_headings&gt;&lt;_tertiary_title&gt;Cancer letters&lt;/_tertiary_title&gt;&lt;_type_work&gt;Journal Article; Research Support, Non-U.S. Gov&amp;apos;t&lt;/_type_work&gt;&lt;_url&gt;http://www.ncbi.nlm.nih.gov/entrez/query.fcgi?cmd=Retrieve&amp;amp;db=pubmed&amp;amp;dopt=Abstract&amp;amp;list_uids=34740610&amp;amp;query_hl=1&lt;/_url&gt;&lt;_volume&gt;525&lt;/_volume&gt;&lt;_created&gt;65012902&lt;/_created&gt;&lt;_modified&gt;65012903&lt;/_modified&gt;&lt;_db_updated&gt;PubMed&lt;/_db_updated&gt;&lt;_impact_factor&gt;   8.679&lt;/_impact_factor&gt;&lt;_collection_scope&gt;SCI;SCIE&lt;/_collection_scope&gt;&lt;/Details&gt;&lt;Extra&gt;&lt;DBUID&gt;{80FCD0DE-45A7-4B42-9F5C-3A940A7F46F3}&lt;/DBUID&gt;&lt;/Extra&gt;&lt;/Item&gt;&lt;/References&gt;&lt;/Group&gt;&lt;Group&gt;&lt;References&gt;&lt;Item&gt;&lt;ID&gt;836&lt;/ID&gt;&lt;UID&gt;{A05B61D3-C26C-4CBA-B7C3-711B347C459C}&lt;/UID&gt;&lt;Title&gt;Identification of a CEACAM5 targeted nanobody for positron emission tomography  imaging and near-infrared fluorescence imaging of colorectal cancer&lt;/Title&gt;&lt;Template&gt;Journal Article&lt;/Template&gt;&lt;Star&gt;0&lt;/Star&gt;&lt;Tag&gt;5&lt;/Tag&gt;&lt;Author&gt;Xiao, Y; Mei, C; Xu, D; Yang, F; Yang, M; Bi, L; Mao, J; Pang, P; Li, D&lt;/Author&gt;&lt;Year&gt;2023&lt;/Year&gt;&lt;Details&gt;&lt;_accession_num&gt;36914753&lt;/_accession_num&gt;&lt;_author_adr&gt;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Department of Nuclear Medicine,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Guangdong Provincial Key Laboratory of Biomedical Imaging and Guangdong  Provincial Engineering Research Center of Molecular Imaging, The Fifth Affiliated  Hospital, Sun Yat-Sen University, Guangdong Province, 519000, China.; Center for Interventional Medicine, The Fifth Affiliated Hospital, Sun Yat-Sen  University, Guangdong Province, 519000, China. maojunj@mail.sysu.edu.cn.; Center for Interventional Medicine, The Fifth Affiliated Hospital, Sun Yat-Sen  University, Guangdong Province, 519000, China. pangpf@mail.sysu.edu.cn.; Department of Nuclear Medicine, The Fifth Affiliated Hospital, Sun Yat-Sen  University, Guangdong Province, 519000, China. lidan25@mail.sysu.edu.cn.; Guangdong Provincial Key Laboratory of Biomedical Imaging and Guangdong  Provincial Engineering Research Center of Molecular Imaging, The Fifth Affiliated  Hospital, Sun Yat-Sen University, Guangdong Province, 519000, China.  lidan25@mail.sysu.edu.cn.&lt;/_author_adr&gt;&lt;_created&gt;64946401&lt;/_created&gt;&lt;_date&gt;2023-07-01&lt;/_date&gt;&lt;_date_display&gt;2023 Jul&lt;/_date_display&gt;&lt;_db_updated&gt;PubMed&lt;/_db_updated&gt;&lt;_doi&gt;10.1007/s00259-023-06183-7&lt;/_doi&gt;&lt;_impact_factor&gt;   9.236&lt;/_impact_factor&gt;&lt;_isbn&gt;1619-7089 (Electronic); 1619-7070 (Linking)&lt;/_isbn&gt;&lt;_issue&gt;8&lt;/_issue&gt;&lt;_journal&gt;Eur J Nucl Med Mol Imaging&lt;/_journal&gt;&lt;_keywords&gt;CEACAM5; Colorectal cancer; Nanobody; Near-infrared fluorescence imaging; Positron emission tomography imaging&lt;/_keywords&gt;&lt;_language&gt;eng&lt;/_language&gt;&lt;_modified&gt;64946401&lt;/_modified&gt;&lt;_ori_publication&gt;(c) 2023. The Author(s), under exclusive licence to Springer-Verlag GmbH Germany, _x000d__x000a_      part of Springer Nature.&lt;/_ori_publication&gt;&lt;_pages&gt;2305-2318&lt;/_pages&gt;&lt;_subject_headings&gt;Humans; Cell Line, Tumor; *Single-Domain Antibodies/metabolism; Positron-Emission Tomography; *Colorectal Neoplasms/diagnostic imaging; Optical Imaging; Carcinoembryonic Antigen; GPI-Linked Proteins&lt;/_subject_headings&gt;&lt;_tertiary_title&gt;European journal of nuclear medicine and molecular imaging&lt;/_tertiary_title&gt;&lt;_type_work&gt;Journal Article&lt;/_type_work&gt;&lt;_url&gt;http://www.ncbi.nlm.nih.gov/entrez/query.fcgi?cmd=Retrieve&amp;amp;db=pubmed&amp;amp;dopt=Abstract&amp;amp;list_uids=36914753&amp;amp;query_hl=1&lt;/_url&gt;&lt;_volume&gt;50&lt;/_volume&gt;&lt;/Details&gt;&lt;Extra&gt;&lt;DBUID&gt;{80FCD0DE-45A7-4B42-9F5C-3A940A7F46F3}&lt;/DBUID&gt;&lt;/Extra&gt;&lt;/Item&gt;&lt;/References&gt;&lt;/Group&gt;&lt;Group&gt;&lt;References&gt;&lt;Item&gt;&lt;ID&gt;859&lt;/ID&gt;&lt;UID&gt;{7FFC41A2-E889-46AA-81F1-09BBA512019C}&lt;/UID&gt;&lt;Title&gt;Phase I/II Trial of Labetuzumab Govitecan (Anti-CEACAM5/SN-38 Antibody-Drug  Conjugate) in Patients With Refractory or Relapsing Metastatic Colorectal Cancer&lt;/Title&gt;&lt;Template&gt;Journal Article&lt;/Template&gt;&lt;Star&gt;0&lt;/Star&gt;&lt;Tag&gt;0&lt;/Tag&gt;&lt;Author&gt;Dotan, E; Cohen, S J; Starodub, A N; Lieu, C H; Messersmith, W A; Simpson, P S; Guarino, M J; Marshall, J L; Goldberg, R M; Hecht, J R; Wegener, W A; Sharkey, R M; Govindan, S V; Goldenberg, D M; Berlin, J D&lt;/Author&gt;&lt;Year&gt;2017&lt;/Year&gt;&lt;Details&gt;&lt;_accession_num&gt;28817371&lt;/_accession_num&gt;&lt;_author_adr&gt;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 Efrat Dotan and Steven J. Cohen, Fox Chase Cancer Center, Philadelphia, PA;  Alexander N. Starodub, Indiana University Health Center for Cancer Care, Goshen,  IN; Christopher H. Lieu and Wells A. Messersmith, University of Colorado Cancer  Center, Aurora, CO; Pamela S. Simpson and Michael J. Guarino, Helen F. Graham  Cancer Center &amp;amp; Research Institute, Newark, DE; John L. Marshall, Ruesch Center  for the Cure of GI Cancers, Georgetown University Hospital, Washington, DC;  Richard M. Goldberg, The Ohio State University Comprehensive Cancer Center,  Columbus, OH; J. Randolph Hecht, University of California, Los Angeles Jonsson  Comprehensive Cancer Center, Los Angeles, CA; William A. Wegener, Robert M.  Sharkey, Serengulam V. Govindan, and David M. Goldenberg, Immunomedics, Morris  Plains, NJ; and Jordan D. Berlin, Vanderbilt-Ingram Cancer Center, Nashville, TN.&lt;/_author_adr&gt;&lt;_date_display&gt;2017 Oct 10&lt;/_date_display&gt;&lt;_date&gt;2017-10-10&lt;/_date&gt;&lt;_doi&gt;10.1200/JCO.2017.73.9011&lt;/_doi&gt;&lt;_isbn&gt;1527-7755 (Electronic); 0732-183X (Print); 0732-183X (Linking)&lt;/_isbn&gt;&lt;_issue&gt;29&lt;/_issue&gt;&lt;_journal&gt;J Clin Oncol&lt;/_journal&gt;&lt;_language&gt;eng&lt;/_language&gt;&lt;_pages&gt;3338-3346&lt;/_pages&gt;&lt;_subject_headings&gt;Adult; Aged; Aged, 80 and over; Antibodies, Monoclonal, Humanized/*administration &amp;amp; dosage/adverse _x000d__x000a_      effects/pharmacokinetics; Antineoplastic Agents/*administration &amp;amp; dosage/adverse effects/pharmacokinetics; Camptothecin/administration &amp;amp; dosage/adverse effects/*analogs &amp;amp; derivatives; Colorectal Neoplasms/*drug therapy/mortality/pathology; Disease Progression; Disease-Free Survival; Drug Administration Schedule; *Drug Resistance, Neoplasm; Female; Half-Life; Humans; Infusions, Intravenous; Irinotecan; Male; Middle Aged; Neoplasm Metastasis; Survival Analysis; Treatment Outcome&lt;/_subject_headings&gt;&lt;_tertiary_title&gt;Journal of clinical oncology : official journal of the American Society of _x000d__x000a_      Clinical Oncology&lt;/_tertiary_title&gt;&lt;_type_work&gt;Clinical Trial, Phase I; Clinical Trial, Phase II; Journal Article; Multicenter Study&lt;/_type_work&gt;&lt;_url&gt;http://www.ncbi.nlm.nih.gov/entrez/query.fcgi?cmd=Retrieve&amp;amp;db=pubmed&amp;amp;dopt=Abstract&amp;amp;list_uids=28817371&amp;amp;query_hl=1&lt;/_url&gt;&lt;_volume&gt;35&lt;/_volume&gt;&lt;_created&gt;65012903&lt;/_created&gt;&lt;_modified&gt;65012904&lt;/_modified&gt;&lt;_db_updated&gt;PubMed&lt;/_db_updated&gt;&lt;_impact_factor&gt;  44.544&lt;/_impact_factor&gt;&lt;_collection_scope&gt;SCI;SCIE&lt;/_collection_scope&gt;&lt;/Details&gt;&lt;Extra&gt;&lt;DBUID&gt;{80FCD0DE-45A7-4B42-9F5C-3A940A7F46F3}&lt;/DBUID&gt;&lt;/Extra&gt;&lt;/Item&gt;&lt;/References&gt;&lt;/Group&gt;&lt;Group&gt;&lt;References&gt;&lt;Item&gt;&lt;ID&gt;860&lt;/ID&gt;&lt;UID&gt;{676B7834-1674-4543-AAA6-F2C04ABE1E6A}&lt;/UID&gt;&lt;Title&gt;The clinical efficacy of first-generation carcinoembryonic antigen  (CEACAM5)-specific CAR T cells is limited by poor persistence and transient  pre-conditioning-dependent respiratory toxicity&lt;/Title&gt;&lt;Template&gt;Journal Article&lt;/Template&gt;&lt;Star&gt;0&lt;/Star&gt;&lt;Tag&gt;0&lt;/Tag&gt;&lt;Author&gt;Thistlethwaite, F C; Gilham, D E; Guest, R D; Rothwell, D G; Pillai, M; Burt, D J; Byatte, A J; Kirillova, N; Valle, J W; Sharma, S K; Chester, K A; Westwood, N B; Halford, SER; Nabarro, S; Wan, S; Austin, E; Hawkins, R E&lt;/Author&gt;&lt;Year&gt;2017&lt;/Year&gt;&lt;Details&gt;&lt;_accession_num&gt;28660319&lt;/_accession_num&gt;&lt;_author_adr&gt;Department of Medical Oncology, The Christie NHS Foundation Trust, Manchester  Academic Health Science Centre, Wilmslow Road, Withington, Manchester, M20 4BX,  UK. fiona.thistlethwaite@christie.nhs.uk.; Faculty of Biology, Medicine and Health, The University of Manchester, Manchester  Academic Healthcare Science Centre, Wilmslow Road, Withington, Manchester, UK.  fiona.thistlethwaite@christie.nhs.uk.; Faculty of Biology, Medicine and Health, The University of Manchester, Manchester  Academic Healthcare Science Centre, Wilmslow Road, Withington, Manchester, UK.; Faculty of Biology, Medicine and Health, The University of Manchester, Manchester  Academic Healthcare Science Centre, Wilmslow Road, Withington, Manchester, UK.; Cellular Therapeutics Limited, Grafton Street, Manchester, UK.; Clinical and Experimental Pharmacology Group, Cancer Research UK Manchester  Institute, The University of Manchester, Wilmslow Road, Withington, Manchester,  UK.; Department of Medical Oncology, The Christie NHS Foundation Trust, Manchester  Academic Health Science Centre, Wilmslow Road, Withington, Manchester, M20 4BX,  UK.; Faculty of Biology, Medicine and Health, The University of Manchester, Manchester  Academic Healthcare Science Centre, Wilmslow Road, Withington, Manchester, UK.; Clinical and Experimental Pharmacology Group, Cancer Research UK Manchester  Institute, The University of Manchester, Wilmslow Road, Withington, Manchester,  UK.; Department of Medical Oncology, The Christie NHS Foundation Trust, Manchester  Academic Health Science Centre, Wilmslow Road, Withington, Manchester, M20 4BX,  UK.; Faculty of Biology, Medicine and Health, The University of Manchester, Manchester  Academic Healthcare Science Centre, Wilmslow Road, Withington, Manchester, UK.; Cellular Therapeutics Limited, Grafton Street, Manchester, UK.; Department of Medical Oncology, The Christie NHS Foundation Trust, Manchester  Academic Health Science Centre, Wilmslow Road, Withington, Manchester, M20 4BX,  UK.; Faculty of Biology, Medicine and Health, The University of Manchester, Manchester  Academic Healthcare Science Centre, Wilmslow Road, Withington, Manchester, UK.; University College London (UCL) Cancer Institute, Paul O&amp;apos;Gorman Building, 72  Huntley Street, London, UK.; University College London (UCL) Cancer Institute, Paul O&amp;apos;Gorman Building, 72  Huntley Street, London, UK.; Cancer Research UK Centre for Drug Development, Angel Building, 407 St John  Street, London, UK.; Cancer Research UK Centre for Drug Development, Angel Building, 407 St John  Street, London, UK.; Cancer Research UK Centre for Drug Development, Angel Building, 407 St John  Street, London, UK.; Cancer Research UK Centre for Drug Development, Angel Building, 407 St John  Street, London, UK.; Stem Cells and Immunotherapy, National Health Service Blood and Transplant  (NHSBT) Liverpool Centre, Speke, Liverpool, UK.; Department of Medical Oncology, The Christie NHS Foundation Trust, Manchester  Academic Health Science Centre, Wilmslow Road, Withington, Manchester, M20 4BX,  UK.; Faculty of Biology, Medicine and Health, The University of Manchester, Manchester  Academic Healthcare Science Centre, Wilmslow Road, Withington, Manchester, UK.&lt;/_author_adr&gt;&lt;_date_display&gt;2017 Nov&lt;/_date_display&gt;&lt;_date&gt;2017-11-01&lt;/_date&gt;&lt;_doi&gt;10.1007/s00262-017-2034-7&lt;/_doi&gt;&lt;_isbn&gt;1432-0851 (Electronic); 0340-7004 (Print); 0340-7004 (Linking)&lt;/_isbn&gt;&lt;_issue&gt;11&lt;/_issue&gt;&lt;_journal&gt;Cancer Immunol Immunother&lt;/_journal&gt;&lt;_keywords&gt;CEA; Chimeric antigen receptor; Persistence; T cells; Toxicity&lt;/_keywords&gt;&lt;_language&gt;eng&lt;/_language&gt;&lt;_pages&gt;1425-1436&lt;/_pages&gt;&lt;_subject_headings&gt;Abdominal Pain/etiology; Adult; Aged; Anemia/etiology; Carcinoembryonic Antigen/genetics/*immunology/metabolism; Cohort Studies; Cyclophosphamide/administration &amp;amp; dosage/adverse effects; Drug Resistance, Neoplasm; Female; GPI-Linked Proteins/genetics/immunology/metabolism; Gene Expression Regulation, Neoplastic; Humans; Immunotherapy, Adoptive/adverse effects/*methods; Interferon-gamma/immunology/metabolism; Interleukin-6/immunology/metabolism; Lung/metabolism; Male; Middle Aged; Myeloablative Agonists/adverse effects/agonists; Neoplasms/genetics/immunology/*therapy; Receptors, Antigen, T-Cell/genetics/*immunology/metabolism; T-Lymphocytes/*immunology/metabolism/transplantation; Treatment Outcome; Vidarabine/administration &amp;amp; dosage/adverse effects/analogs &amp;amp; derivatives; Vomiting/etiology&lt;/_subject_headings&gt;&lt;_tertiary_title&gt;Cancer immunology, immunotherapy : CII&lt;/_tertiary_title&gt;&lt;_type_work&gt;Clinical Trial, Phase I; Journal Article&lt;/_type_work&gt;&lt;_url&gt;http://www.ncbi.nlm.nih.gov/entrez/query.fcgi?cmd=Retrieve&amp;amp;db=pubmed&amp;amp;dopt=Abstract&amp;amp;list_uids=28660319&amp;amp;query_hl=1&lt;/_url&gt;&lt;_volume&gt;66&lt;/_volume&gt;&lt;_created&gt;65012906&lt;/_created&gt;&lt;_modified&gt;65012907&lt;/_modified&gt;&lt;_db_updated&gt;PubMed&lt;/_db_updated&gt;&lt;_impact_factor&gt;   6.968&lt;/_impact_factor&gt;&lt;/Details&gt;&lt;Extra&gt;&lt;DBUID&gt;{80FCD0DE-45A7-4B42-9F5C-3A940A7F46F3}&lt;/DBUID&gt;&lt;/Extra&gt;&lt;/Item&gt;&lt;/References&gt;&lt;/Group&gt;&lt;Group&gt;&lt;References&gt;&lt;Item&gt;&lt;ID&gt;865&lt;/ID&gt;&lt;UID&gt;{AF9C8116-51BD-41DE-9F1E-7AB9936FDC80}&lt;/UID&gt;&lt;Title&gt;Safety and effectiveness of SGM-101, a fluorescent antibody targeting  carcinoembryonic antigen, for intraoperative detection of colorectal cancer: a  dose-escalation pilot study&lt;/Title&gt;&lt;Template&gt;Journal Article&lt;/Template&gt;&lt;Star&gt;0&lt;/Star&gt;&lt;Tag&gt;0&lt;/Tag&gt;&lt;Author&gt;Boogerd, LSF; Hoogstins, CES; Schaap, D P; Kusters, M; Handgraaf, HJM; van der Valk, MJM; Hilling, D E; Holman, F A; Peeters, KCMJ; Mieog, JSD; van de Velde, CJH; Farina-Sarasqueta, A; van Lijnschoten, I; Framery, B; Pelegrin, A; Gutowski, M; Nienhuijs, S W; de Hingh, IHJT; Nieuwenhuijzen, GAP; Rutten, HJT; Cailler, F; Burggraaf, J; Vahrmeijer, A L&lt;/Author&gt;&lt;Year&gt;2018&lt;/Year&gt;&lt;Details&gt;&lt;_accession_num&gt;29361435&lt;/_accession_num&gt;&lt;_author_adr&gt;Department of Surgery, Leiden University Medical Center, Leiden, Netherlands.; Department of Surgery, Leiden University Medical Center, Leiden, Netherlands.; Department of Surgery, Catharina Hospital Eindhoven, Eindhoven, Netherlands.; Department of Surgery, Leiden University Medical Center, Leiden, Netherlands;  Department of Surgery, Catharina Hospital Eindhoven, Eindhov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Pathology, Leiden University Medical Center, Leiden, Netherlands.; Stichting PAMM, Eindhoven, Netherlands.; SurgiMab, Montpellier, France.; IRCM, Institut de Recherche en Cancerologie de Montpellier, Montpellier, France;  INSERM, U1194, Montpellier, France; Universite de Montpellier, Montpellier,  France; Institut regional du Cancer de Montpellier, ICM, Montpellier, France.; Institut regional du Cancer de Montpellier, ICM, Montpellier, France.; Department of Surgery, Catharina Hospital Eindhoven, Eindhoven, Netherlands.; Department of Surgery, Catharina Hospital Eindhoven, Eindhoven, Netherlands.; Department of Surgery, Catharina Hospital Eindhoven, Eindhoven, Netherlands.; Department of Surgery, Catharina Hospital Eindhoven, Eindhoven, Netherlands;  GROW, School Of Oncology and Developmental Biology, University of Maastricht,  Maastricht, Netherlands.; SurgiMab, Montpellier, France.; Centre for Human Drug Research, Leiden, Netherlands; Leiden Academic Center for  Drug Research, Leiden, Netherlands.; Department of Surgery, Leiden University Medical Center, Leiden, Netherlands.  Electronic address: a.l.vahrmeijer@lumc.nl.&lt;/_author_adr&gt;&lt;_date_display&gt;2018 Mar&lt;/_date_display&gt;&lt;_date&gt;2018-03-01&lt;/_date&gt;&lt;_doi&gt;10.1016/S2468-1253(17)30395-3&lt;/_doi&gt;&lt;_isbn&gt;2468-1253 (Electronic)&lt;/_isbn&gt;&lt;_issue&gt;3&lt;/_issue&gt;&lt;_journal&gt;Lancet Gastroenterol Hepatol&lt;/_journal&gt;&lt;_language&gt;eng&lt;/_language&gt;&lt;_ori_publication&gt;Copyright (c) 2018 Elsevier Ltd. All rights reserved.&lt;/_ori_publication&gt;&lt;_pages&gt;181-191&lt;/_pages&gt;&lt;_subject_headings&gt;Aged; Antibodies, Monoclonal/*administration &amp;amp; dosage/*adverse effects; Carcinoembryonic Antigen/blood/*immunology; Colorectal Neoplasms/*diagnostic imaging/pathology/surgery; Female; *Fluorescent Antibody Technique; Humans; Intraoperative Period; Male; Neoplasm Recurrence, Local/diagnostic imaging; Peritoneal Neoplasms/diagnostic imaging/secondary; Pilot Projects&lt;/_subject_headings&gt;&lt;_tertiary_title&gt;The lancet. Gastroenterology &amp;amp; hepatology&lt;/_tertiary_title&gt;&lt;_type_work&gt;Journal Article; Multicenter Study; Research Support, Non-U.S. Gov&amp;apos;t&lt;/_type_work&gt;&lt;_url&gt;http://www.ncbi.nlm.nih.gov/entrez/query.fcgi?cmd=Retrieve&amp;amp;db=pubmed&amp;amp;dopt=Abstract&amp;amp;list_uids=29361435&amp;amp;query_hl=1&lt;/_url&gt;&lt;_volume&gt;3&lt;/_volume&gt;&lt;_created&gt;65018510&lt;/_created&gt;&lt;_modified&gt;65018511&lt;/_modified&gt;&lt;_db_updated&gt;PubMed&lt;/_db_updated&gt;&lt;_impact_factor&gt;  18.486&lt;/_impact_factor&gt;&lt;/Details&gt;&lt;Extra&gt;&lt;DBUID&gt;{80FCD0DE-45A7-4B42-9F5C-3A940A7F46F3}&lt;/DBUID&gt;&lt;/Extra&gt;&lt;/Item&gt;&lt;/References&gt;&lt;/Group&gt;&lt;/Citation&gt;_x000a_"/>
    <w:docVar w:name="NE.Ref{A2DCFC6A-5A15-4F10-92AA-C736D23CDE8E}" w:val=" ADDIN NE.Ref.{A2DCFC6A-5A15-4F10-92AA-C736D23CDE8E}&lt;Citation&gt;&lt;Group&gt;&lt;References&gt;&lt;Item&gt;&lt;ID&gt;228&lt;/ID&gt;&lt;UID&gt;{F8DD44ED-77B1-4431-B21D-5833DDE08FE3}&lt;/UID&gt;&lt;Title&gt;Therapeutic Armamentarium for Stricturing Crohn&amp;apos;s Disease: Medical Versus Endoscopic Versus Surgical Approaches&lt;/Title&gt;&lt;Template&gt;Journal Article&lt;/Template&gt;&lt;Star&gt;0&lt;/Star&gt;&lt;Tag&gt;0&lt;/Tag&gt;&lt;Author&gt;Bharadwaj, S; Fleshner, P; Shen, B&lt;/Author&gt;&lt;Year&gt;2015&lt;/Year&gt;&lt;Details&gt;&lt;_accession_num&gt;25985249&lt;/_accession_num&gt;&lt;_author_adr&gt;*Department of Gastroenterology and Hepatology, The Cleveland Clinic Foundation,  Cleveland, Ohio; and daggerDivision of Colorectal Surgery, Cedars-Sinai Medical Center, Los Angeles, California.&lt;/_author_adr&gt;&lt;_date_display&gt;2015 Sep&lt;/_date_display&gt;&lt;_date&gt;2015-09-01&lt;/_date&gt;&lt;_doi&gt;10.1097/MIB.0000000000000403&lt;/_doi&gt;&lt;_isbn&gt;1536-4844 (Electronic); 1078-0998 (Linking)&lt;/_isbn&gt;&lt;_issue&gt;9&lt;/_issue&gt;&lt;_journal&gt;Inflamm Bowel Dis&lt;/_journal&gt;&lt;_language&gt;eng&lt;/_language&gt;&lt;_pages&gt;2194-213&lt;/_pages&gt;&lt;_subject_headings&gt;Catheterization/methods; Constriction, Pathologic/drug therapy/surgery; Crohn Disease/drug therapy/pathology/*surgery; Dilatation/methods; Endoscopy, Gastrointestinal/methods; Humans; Intestines/pathology/*surgery; Recurrence; Reoperation; Treatment Outcome&lt;/_subject_headings&gt;&lt;_tertiary_title&gt;Inflammatory bowel diseases&lt;/_tertiary_title&gt;&lt;_type_work&gt;Journal Article; Research Support, Non-U.S. Gov&amp;apos;t; Review&lt;/_type_work&gt;&lt;_url&gt;http://www.ncbi.nlm.nih.gov/entrez/query.fcgi?cmd=Retrieve&amp;amp;db=pubmed&amp;amp;dopt=Abstract&amp;amp;list_uids=25985249&amp;amp;query_hl=1&lt;/_url&gt;&lt;_volume&gt;21&lt;/_volume&gt;&lt;_created&gt;64289646&lt;/_created&gt;&lt;_modified&gt;64289646&lt;/_modified&gt;&lt;_db_updated&gt;PubMed&lt;/_db_updated&gt;&lt;_impact_factor&gt;   5.325&lt;/_impact_factor&gt;&lt;_collection_scope&gt;SCI;SCIE&lt;/_collection_scope&gt;&lt;/Details&gt;&lt;Extra&gt;&lt;DBUID&gt;{80FCD0DE-45A7-4B42-9F5C-3A940A7F46F3}&lt;/DBUID&gt;&lt;/Extra&gt;&lt;/Item&gt;&lt;/References&gt;&lt;/Group&gt;&lt;/Citation&gt;_x000a_"/>
    <w:docVar w:name="NE.Ref{A7A5CFA7-2346-454A-8216-76F3F73518A5}" w:val=" ADDIN NE.Ref.{A7A5CFA7-2346-454A-8216-76F3F73518A5}&lt;Citation&gt;&lt;Group&gt;&lt;References&gt;&lt;Item&gt;&lt;ID&gt;853&lt;/ID&gt;&lt;UID&gt;{D92F5309-D065-4723-ADAB-6E7BF9A28BB9}&lt;/UID&gt;&lt;Title&gt;The carcinoembryonic antigen (CEA) family: structures, suggested functions and  expression in normal and malignant tissues&lt;/Title&gt;&lt;Template&gt;Journal Article&lt;/Template&gt;&lt;Star&gt;0&lt;/Star&gt;&lt;Tag&gt;0&lt;/Tag&gt;&lt;Author&gt;Hammarstrom, S&lt;/Author&gt;&lt;Year&gt;1999&lt;/Year&gt;&lt;Details&gt;&lt;_accession_num&gt;10202129&lt;/_accession_num&gt;&lt;_author_adr&gt;Department of Immunology, Umea University, Umea, SE-90185, Sweden.&lt;/_author_adr&gt;&lt;_collection_scope&gt;SCI;SCIE&lt;/_collection_scope&gt;&lt;_created&gt;65012761&lt;/_created&gt;&lt;_date&gt;1999-04-01&lt;/_date&gt;&lt;_date_display&gt;1999 Apr&lt;/_date_display&gt;&lt;_db_updated&gt;PubMed&lt;/_db_updated&gt;&lt;_doi&gt;10.1006/scbi.1998.0119&lt;/_doi&gt;&lt;_impact_factor&gt;  15.707&lt;/_impact_factor&gt;&lt;_isbn&gt;1044-579X (Print); 1044-579X (Linking)&lt;/_isbn&gt;&lt;_issue&gt;2&lt;/_issue&gt;&lt;_journal&gt;Semin Cancer Biol&lt;/_journal&gt;&lt;_language&gt;eng&lt;/_language&gt;&lt;_modified&gt;65012761&lt;/_modified&gt;&lt;_ori_publication&gt;Copyright 1999 Academic Press.&lt;/_ori_publication&gt;&lt;_pages&gt;67-81&lt;/_pages&gt;&lt;_subject_headings&gt;Carcinoembryonic Antigen/analysis/*genetics; Gene Expression Regulation, Neoplastic; Genes/genetics; Humans; Immunohistochemistry; *Multigene Family; Neoplasms/genetics/metabolism/pathology&lt;/_subject_headings&gt;&lt;_tertiary_title&gt;Seminars in cancer biology&lt;/_tertiary_title&gt;&lt;_type_work&gt;Journal Article; Research Support, Non-U.S. Gov&amp;apos;t; Review&lt;/_type_work&gt;&lt;_url&gt;http://www.ncbi.nlm.nih.gov/entrez/query.fcgi?cmd=Retrieve&amp;amp;db=pubmed&amp;amp;dopt=Abstract&amp;amp;list_uids=10202129&amp;amp;query_hl=1&lt;/_url&gt;&lt;_volume&gt;9&lt;/_volume&gt;&lt;/Details&gt;&lt;Extra&gt;&lt;DBUID&gt;{80FCD0DE-45A7-4B42-9F5C-3A940A7F46F3}&lt;/DBUID&gt;&lt;/Extra&gt;&lt;/Item&gt;&lt;/References&gt;&lt;/Group&gt;&lt;/Citation&gt;_x000a_"/>
    <w:docVar w:name="NE.Ref{ABFFAD60-0780-4276-BE67-EF08DF604AAC}" w:val=" ADDIN NE.Ref.{ABFFAD60-0780-4276-BE67-EF08DF604AAC}&lt;Citation&gt;&lt;Group&gt;&lt;References&gt;&lt;Item&gt;&lt;ID&gt;856&lt;/ID&gt;&lt;UID&gt;{115D4B42-BB42-45E9-AACF-A724CDC223FA}&lt;/UID&gt;&lt;Title&gt;The role of tissue and serum carcinoembryonic antigen in stages I to III of  colorectal cancer-A retrospective cohort study&lt;/Title&gt;&lt;Template&gt;Journal Article&lt;/Template&gt;&lt;Star&gt;0&lt;/Star&gt;&lt;Tag&gt;0&lt;/Tag&gt;&lt;Author&gt;Tong, G; Xu, W; Zhang, G; Liu, J; Zheng, Z; Chen, Y; Niu, P; Xu, X&lt;/Author&gt;&lt;Year&gt;2018&lt;/Year&gt;&lt;Details&gt;&lt;_accession_num&gt;30302946&lt;/_accession_num&gt;&lt;_author_adr&gt;Department of Colorectal Surgery, Huzhou Central Hospital, Zhejiang, China.; Central Laboratory, Huzhou Central Hospital, Zhejiang, China.; Pathological Department, Huzhou Central Hospital, Zhejiang, China.; Department of Colorectal Surgery, Huzhou Central Hospital, Zhejiang, China.; Department of Colorectal Surgery, Huzhou Central Hospital, Zhejiang, China.; Department of Colorectal Surgery, Huzhou Central Hospital, Zhejiang, China.; Department of Colorectal Surgery, Huzhou Central Hospital, Zhejiang, China.; Central Laboratory, Huzhou Central Hospital, Zhejiang, China.; Central Laboratory, Huzhou Central Hospital, Zhejiang, China.&lt;/_author_adr&gt;&lt;_created&gt;65012879&lt;/_created&gt;&lt;_date&gt;2018-11-01&lt;/_date&gt;&lt;_date_display&gt;2018 Nov&lt;/_date_display&gt;&lt;_db_updated&gt;PubMed&lt;/_db_updated&gt;&lt;_doi&gt;10.1002/cam4.1814&lt;/_doi&gt;&lt;_impact_factor&gt;   4.452&lt;/_impact_factor&gt;&lt;_isbn&gt;2045-7634 (Electronic); 2045-7634 (Linking)&lt;/_isbn&gt;&lt;_issue&gt;11&lt;/_issue&gt;&lt;_journal&gt;Cancer Med&lt;/_journal&gt;&lt;_keywords&gt;carcinoembryonic antigen; colorectal carcinoma; prognosis&lt;/_keywords&gt;&lt;_language&gt;eng&lt;/_language&gt;&lt;_modified&gt;65012879&lt;/_modified&gt;&lt;_ori_publication&gt;(c) 2018 The Authors. Cancer Medicine published by John Wiley &amp;amp; Sons Ltd.&lt;/_ori_publication&gt;&lt;_pages&gt;5327-5338&lt;/_pages&gt;&lt;_subject_headings&gt;Adolescent; Adult; Aged; Aged, 80 and over; Carcinoembryonic Antigen/*blood/*metabolism; Colorectal Neoplasms/*blood/*metabolism/pathology; Female; Humans; Kaplan-Meier Estimate; Male; Middle Aged; Neoplasm Staging; Prognosis; Retrospective Studies; Young Adult&lt;/_subject_headings&gt;&lt;_tertiary_title&gt;Cancer medicine&lt;/_tertiary_title&gt;&lt;_type_work&gt;Journal Article; Research Support, Non-U.S. Gov&amp;apos;t&lt;/_type_work&gt;&lt;_url&gt;http://www.ncbi.nlm.nih.gov/entrez/query.fcgi?cmd=Retrieve&amp;amp;db=pubmed&amp;amp;dopt=Abstract&amp;amp;list_uids=30302946&amp;amp;query_hl=1&lt;/_url&gt;&lt;_volume&gt;7&lt;/_volume&gt;&lt;/Details&gt;&lt;Extra&gt;&lt;DBUID&gt;{80FCD0DE-45A7-4B42-9F5C-3A940A7F46F3}&lt;/DBUID&gt;&lt;/Extra&gt;&lt;/Item&gt;&lt;/References&gt;&lt;/Group&gt;&lt;/Citation&gt;_x000a_"/>
    <w:docVar w:name="NE.Ref{B0257929-36D9-44DD-A35F-7B629C4A3568}" w:val=" ADDIN NE.Ref.{B0257929-36D9-44DD-A35F-7B629C4A3568}&lt;Citation&gt;&lt;Group&gt;&lt;References&gt;&lt;Item&gt;&lt;ID&gt;865&lt;/ID&gt;&lt;UID&gt;{AF9C8116-51BD-41DE-9F1E-7AB9936FDC80}&lt;/UID&gt;&lt;Title&gt;Safety and effectiveness of SGM-101, a fluorescent antibody targeting  carcinoembryonic antigen, for intraoperative detection of colorectal cancer: a  dose-escalation pilot study&lt;/Title&gt;&lt;Template&gt;Journal Article&lt;/Template&gt;&lt;Star&gt;0&lt;/Star&gt;&lt;Tag&gt;0&lt;/Tag&gt;&lt;Author&gt;Boogerd, LSF; Hoogstins, CES; Schaap, D P; Kusters, M; Handgraaf, HJM; van der Valk, MJM; Hilling, D E; Holman, F A; Peeters, KCMJ; Mieog, JSD; van de Velde, CJH; Farina-Sarasqueta, A; van Lijnschoten, I; Framery, B; Pelegrin, A; Gutowski, M; Nienhuijs, S W; de Hingh, IHJT; Nieuwenhuijzen, GAP; Rutten, HJT; Cailler, F; Burggraaf, J; Vahrmeijer, A L&lt;/Author&gt;&lt;Year&gt;2018&lt;/Year&gt;&lt;Details&gt;&lt;_accession_num&gt;29361435&lt;/_accession_num&gt;&lt;_author_adr&gt;Department of Surgery, Leiden University Medical Center, Leiden, Netherlands.; Department of Surgery, Leiden University Medical Center, Leiden, Netherlands.; Department of Surgery, Catharina Hospital Eindhoven, Eindhoven, Netherlands.; Department of Surgery, Leiden University Medical Center, Leiden, Netherlands;  Department of Surgery, Catharina Hospital Eindhoven, Eindhov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Surgery, Leiden University Medical Center, Leiden, Netherlands.; Department of Pathology, Leiden University Medical Center, Leiden, Netherlands.; Stichting PAMM, Eindhoven, Netherlands.; SurgiMab, Montpellier, France.; IRCM, Institut de Recherche en Cancerologie de Montpellier, Montpellier, France;  INSERM, U1194, Montpellier, France; Universite de Montpellier, Montpellier,  France; Institut regional du Cancer de Montpellier, ICM, Montpellier, France.; Institut regional du Cancer de Montpellier, ICM, Montpellier, France.; Department of Surgery, Catharina Hospital Eindhoven, Eindhoven, Netherlands.; Department of Surgery, Catharina Hospital Eindhoven, Eindhoven, Netherlands.; Department of Surgery, Catharina Hospital Eindhoven, Eindhoven, Netherlands.; Department of Surgery, Catharina Hospital Eindhoven, Eindhoven, Netherlands;  GROW, School Of Oncology and Developmental Biology, University of Maastricht,  Maastricht, Netherlands.; SurgiMab, Montpellier, France.; Centre for Human Drug Research, Leiden, Netherlands; Leiden Academic Center for  Drug Research, Leiden, Netherlands.; Department of Surgery, Leiden University Medical Center, Leiden, Netherlands.  Electronic address: a.l.vahrmeijer@lumc.nl.&lt;/_author_adr&gt;&lt;_created&gt;65018510&lt;/_created&gt;&lt;_date&gt;2018-03-01&lt;/_date&gt;&lt;_date_display&gt;2018 Mar&lt;/_date_display&gt;&lt;_db_updated&gt;PubMed&lt;/_db_updated&gt;&lt;_doi&gt;10.1016/S2468-1253(17)30395-3&lt;/_doi&gt;&lt;_impact_factor&gt;  18.486&lt;/_impact_factor&gt;&lt;_isbn&gt;2468-1253 (Electronic)&lt;/_isbn&gt;&lt;_issue&gt;3&lt;/_issue&gt;&lt;_journal&gt;Lancet Gastroenterol Hepatol&lt;/_journal&gt;&lt;_language&gt;eng&lt;/_language&gt;&lt;_modified&gt;65018511&lt;/_modified&gt;&lt;_ori_publication&gt;Copyright (c) 2018 Elsevier Ltd. All rights reserved.&lt;/_ori_publication&gt;&lt;_pages&gt;181-191&lt;/_pages&gt;&lt;_subject_headings&gt;Aged; Antibodies, Monoclonal/*administration &amp;amp; dosage/*adverse effects; Carcinoembryonic Antigen/blood/*immunology; Colorectal Neoplasms/*diagnostic imaging/pathology/surgery; Female; *Fluorescent Antibody Technique; Humans; Intraoperative Period; Male; Neoplasm Recurrence, Local/diagnostic imaging; Peritoneal Neoplasms/diagnostic imaging/secondary; Pilot Projects&lt;/_subject_headings&gt;&lt;_tertiary_title&gt;The lancet. Gastroenterology &amp;amp; hepatology&lt;/_tertiary_title&gt;&lt;_type_work&gt;Journal Article; Multicenter Study; Research Support, Non-U.S. Gov&amp;apos;t&lt;/_type_work&gt;&lt;_url&gt;http://www.ncbi.nlm.nih.gov/entrez/query.fcgi?cmd=Retrieve&amp;amp;db=pubmed&amp;amp;dopt=Abstract&amp;amp;list_uids=29361435&amp;amp;query_hl=1&lt;/_url&gt;&lt;_volume&gt;3&lt;/_volume&gt;&lt;/Details&gt;&lt;Extra&gt;&lt;DBUID&gt;{80FCD0DE-45A7-4B42-9F5C-3A940A7F46F3}&lt;/DBUID&gt;&lt;/Extra&gt;&lt;/Item&gt;&lt;/References&gt;&lt;/Group&gt;&lt;Group&gt;&lt;References&gt;&lt;Item&gt;&lt;ID&gt;868&lt;/ID&gt;&lt;UID&gt;{9DC5BE59-8B52-4D6C-869A-1DCBEDC55555}&lt;/UID&gt;&lt;Title&gt;Intraoperative molecular imaging of colorectal lung metastases with SGM-101: a  feasibility study&lt;/Title&gt;&lt;Template&gt;Journal Article&lt;/Template&gt;&lt;Star&gt;0&lt;/Star&gt;&lt;Tag&gt;0&lt;/Tag&gt;&lt;Author&gt;Meijer, RPJ; Galema, H A; Faber, R A; Bijlstra, O D; Maat, APWM; Cailler, F; Braun, J; Keereweer, S; Hilling, D E; Burggraaf, J; Vahrmeijer, A L; Hutteman, M&lt;/Author&gt;&lt;Year&gt;2023&lt;/Year&gt;&lt;Details&gt;&lt;_accession_num&gt;37552367&lt;/_accession_num&gt;&lt;_author_adr&gt;Department of Surgery, Leiden University Medical Center, Albinusdreef 2, 2333 ZA,  Leiden, The Netherlands.; Center for Human Drug Research, Zernikedreef 8, 2333 CL, Leiden, The Netherlands.; Department of Surgical Oncology and Gastrointestinal Surgery, Erasmus MC Cancer  Institute, Doctor Molewaterplein 40, 3015 GD, Rotterdam, The Netherlands.; Department of Otorhinolaryngology, Head and Neck Surgery, Erasmus MC Cancer  Institute, Doctor Molewaterplein 40, 3015 GD, Rotterdam, The Netherlands.; Department of Surgery, Leiden University Medical Center, Albinusdreef 2, 2333 ZA,  Leiden, The Netherlands.; Department of Surgery, Leiden University Medical Center, Albinusdreef 2, 2333 ZA,  Leiden, The Netherlands.; Department of Cardiothoracic Surgery, Erasmus Medical Center, Doctor  Molewaterplein 40, 3015 GD, Rotterdam, The Netherlands.; Surgimab, 10 Parc Club du Millenaire, 1025 Avenue Henri Becquerel, 34000,  Montpellier, France.; Department of Cardiothoracic Surgery, Leiden University Medical Center,  Albinusdreef 2, 2333 ZA, Leiden, The Netherlands.; Department of Otorhinolaryngology, Head and Neck Surgery, Erasmus MC Cancer  Institute, Doctor Molewaterplein 40, 3015 GD, Rotterdam, The Netherlands.; Department of Surgery, Leiden University Medical Center, Albinusdreef 2, 2333 ZA,  Leiden, The Netherlands.; Department of Surgical Oncology and Gastrointestinal Surgery, Erasmus MC Cancer  Institute, Doctor Molewaterplein 40, 3015 GD, Rotterdam, The Netherlands.; Department of Surgery, Leiden University Medical Center, Albinusdreef 2, 2333 ZA,  Leiden, The Netherlands.; Center for Human Drug Research, Zernikedreef 8, 2333 CL, Leiden, The Netherlands.; Department of Surgery, Leiden University Medical Center, Albinusdreef 2, 2333 ZA,  Leiden, The Netherlands.; Department of Surgery, Leiden University Medical Center, Albinusdreef 2, 2333 ZA,  Leiden, The Netherlands. merlijn.hutteman@radboudumc.nl.; Department of Cardiothoracic Surgery, Leiden University Medical Center,  Albinusdreef 2, 2333 ZA, Leiden, The Netherlands. merlijn.hutteman@radboudumc.nl.; Department of Surgery, Radboud University Medical Center, Geert Grooteplein Zuid  10, GA, 6525, Nijmegen, The Netherlands. merlijn.hutteman@radboudumc.nl.&lt;/_author_adr&gt;&lt;_created&gt;65019805&lt;/_created&gt;&lt;_date&gt;2023-08-08&lt;/_date&gt;&lt;_date_display&gt;2023 Aug 8&lt;/_date_display&gt;&lt;_db_updated&gt;PubMed&lt;/_db_updated&gt;&lt;_doi&gt;10.1007/s00259-023-06365-3&lt;/_doi&gt;&lt;_impact_factor&gt;   9.236&lt;/_impact_factor&gt;&lt;_isbn&gt;1619-7089 (Electronic); 1619-7070 (Linking)&lt;/_isbn&gt;&lt;_journal&gt;Eur J Nucl Med Mol Imaging&lt;/_journal&gt;&lt;_keywords&gt;CEACAM5; Carcinoembryonic antigen; Colorectal lung metastases; Molecular imaging; Near-infrared fluorescence imaging; SGM-101&lt;/_keywords&gt;&lt;_language&gt;eng&lt;/_language&gt;&lt;_modified&gt;65019805&lt;/_modified&gt;&lt;_ori_publication&gt;(c) 2023. The Author(s).&lt;/_ori_publication&gt;&lt;_tertiary_title&gt;European journal of nuclear medicine and molecular imaging&lt;/_tertiary_title&gt;&lt;_type_work&gt;Journal Article&lt;/_type_work&gt;&lt;_url&gt;http://www.ncbi.nlm.nih.gov/entrez/query.fcgi?cmd=Retrieve&amp;amp;db=pubmed&amp;amp;dopt=Abstract&amp;amp;list_uids=37552367&amp;amp;query_hl=1&lt;/_url&gt;&lt;/Details&gt;&lt;Extra&gt;&lt;DBUID&gt;{80FCD0DE-45A7-4B42-9F5C-3A940A7F46F3}&lt;/DBUID&gt;&lt;/Extra&gt;&lt;/Item&gt;&lt;/References&gt;&lt;/Group&gt;&lt;/Citation&gt;_x000a_"/>
    <w:docVar w:name="NE.Ref{B7A1EF79-7E1D-40C1-8FF7-C905241E2796}" w:val=" ADDIN NE.Ref.{B7A1EF79-7E1D-40C1-8FF7-C905241E2796}&lt;Citation&gt;&lt;Group&gt;&lt;References&gt;&lt;Item&gt;&lt;ID&gt;918&lt;/ID&gt;&lt;UID&gt;{432443F1-943C-42DB-8BEC-676E7639F8AC}&lt;/UID&gt;&lt;Title&gt;MET Exon 14 Mutations in Non-Small-Cell Lung Cancer Are Associated With Advanced  Age and Stage-Dependent MET Genomic Amplification and c-Met Overexpression&lt;/Title&gt;&lt;Template&gt;Journal Article&lt;/Template&gt;&lt;Star&gt;0&lt;/Star&gt;&lt;Tag&gt;0&lt;/Tag&gt;&lt;Author&gt;Awad, M M; Oxnard, G R; Jackman, D M; Savukoski, D O; Hall, D; Shivdasani, P; Heng, J C; Dahlberg, S E; Janne, P A; Verma, S; Christensen, J; Hammerman, P S; Sholl, L M&lt;/Author&gt;&lt;Year&gt;2016&lt;/Year&gt;&lt;Details&gt;&lt;_accession_num&gt;26729443&lt;/_accession_num&gt;&lt;_author_adr&gt;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_awad@dfci.harvard.edu.;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 Mark M. Awad, Geoffrey R. Oxnard, David M. Jackman, Jennifer C. Heng, Suzanne E.  Dahlberg, Pasi A. Janne, and Peter S. Hammerman, Dana-Farber Cancer Institute;  Mark M. Awad, Geoffrey R. Oxnard, David M. Jackman, Daniel O. Savukoski, Dimity  Hall, Priyanka Shivdasani, Pasi A. Janne, Peter S. Hammerman, and Lynette M.  Sholl, Brigham and Women&amp;apos;s Hospital and Harvard Medical School, Boston, MA; Suman  Verma, ResearchDX, Irvine; and James Christensen, Mirati Therapeutics, San Diego,  CA.&lt;/_author_adr&gt;&lt;_date_display&gt;2016 Mar 1&lt;/_date_display&gt;&lt;_date&gt;2016-03-01&lt;/_date&gt;&lt;_doi&gt;10.1200/JCO.2015.63.4600&lt;/_doi&gt;&lt;_isbn&gt;1527-7755 (Electronic); 0732-183X (Linking)&lt;/_isbn&gt;&lt;_issue&gt;7&lt;/_issue&gt;&lt;_journal&gt;J Clin Oncol&lt;/_journal&gt;&lt;_language&gt;eng&lt;/_language&gt;&lt;_ori_publication&gt;(c) 2016 by American Society of Clinical Oncology.&lt;/_ori_publication&gt;&lt;_pages&gt;721-30&lt;/_pages&gt;&lt;_subject_headings&gt;Age Factors; Aged; Aged, 80 and over; Carcinoma, Non-Small-Cell Lung/drug therapy/*genetics/pathology; Crizotinib; Exons; Humans; Immunohistochemistry; Lung Neoplasms/drug therapy/*genetics/pathology; Middle Aged; *Mutation; Neoplasm Staging; Protein Kinase Inhibitors/therapeutic use; Proto-Oncogene Proteins c-met/*genetics; Pyrazoles/therapeutic use; Pyridines/therapeutic use; Real-Time Polymerase Chain Reaction; Risk Factors&lt;/_subject_headings&gt;&lt;_tertiary_title&gt;Journal of clinical oncology : official journal of the American Society of _x000d__x000a_      Clinical Oncology&lt;/_tertiary_title&gt;&lt;_type_work&gt;Journal Article&lt;/_type_work&gt;&lt;_url&gt;http://www.ncbi.nlm.nih.gov/entrez/query.fcgi?cmd=Retrieve&amp;amp;db=pubmed&amp;amp;dopt=Abstract&amp;amp;list_uids=26729443&amp;amp;query_hl=1&lt;/_url&gt;&lt;_volume&gt;34&lt;/_volume&gt;&lt;_created&gt;65044346&lt;/_created&gt;&lt;_modified&gt;65044346&lt;/_modified&gt;&lt;_db_updated&gt;PubMed&lt;/_db_updated&gt;&lt;_impact_factor&gt;  44.544&lt;/_impact_factor&gt;&lt;_collection_scope&gt;SCI;SCIE&lt;/_collection_scope&gt;&lt;/Details&gt;&lt;Extra&gt;&lt;DBUID&gt;{80FCD0DE-45A7-4B42-9F5C-3A940A7F46F3}&lt;/DBUID&gt;&lt;/Extra&gt;&lt;/Item&gt;&lt;/References&gt;&lt;/Group&gt;&lt;/Citation&gt;_x000a_"/>
    <w:docVar w:name="NE.Ref{C1F2D1BF-D1C7-4B8A-A877-E0F8C7EAE085}" w:val=" ADDIN NE.Ref.{C1F2D1BF-D1C7-4B8A-A877-E0F8C7EAE085}&lt;Citation&gt;&lt;Group&gt;&lt;References&gt;&lt;Item&gt;&lt;ID&gt;241&lt;/ID&gt;&lt;UID&gt;{1D741230-C595-4698-B9BE-73A6DA23E3AB}&lt;/UID&gt;&lt;Title&gt;COVID-19 infection alters kynurenine and fatty acid metabolism, correlating with  IL-6 levels and renal status&lt;/Title&gt;&lt;Template&gt;Journal Article&lt;/Template&gt;&lt;Star&gt;0&lt;/Star&gt;&lt;Tag&gt;0&lt;/Tag&gt;&lt;Author&gt;Thomas, T; Stefanoni, D; Reisz, J A; Nemkov, T; Bertolone, L; Francis, R O; Hudson, K E; Zimring, J C; Hansen, K C; Hod, E A; Spitalnik, S L; D&amp;apos;Alessandro, A&lt;/Author&gt;&lt;Year&gt;2020&lt;/Year&gt;&lt;Details&gt;&lt;_accession_num&gt;32559180&lt;/_accession_num&gt;&lt;_author_adr&gt;Department of Pathology and Cell Biology, Columbia University, New York, New York, USA.; Department of Biochemistry and Molecular Genetics, University of Colorado Denver  - Anschutz Medical Campus, Aurora, Colorado, USA.; Department of Biochemistry and Molecular Genetics, University of Colorado Denver  - Anschutz Medical Campus, Aurora, Colorado, USA.; Department of Biochemistry and Molecular Genetics, University of Colorado Denver  - Anschutz Medical Campus, Aurora, Colorado, USA.; Department of Biochemistry and Molecular Genetics, University of Colorado Denver  - Anschutz Medical Campus, Aurora, Colorado, USA.; Department of Pathology and Cell Biology, Columbia University, New York, New York, USA.; Department of Pathology and Cell Biology, Columbia University, New York, New York, USA.; Department of Pathology, University of Virginia, Charlottesville, Virginia, USA.; Department of Biochemistry and Molecular Genetics, University of Colorado Denver  - Anschutz Medical Campus, Aurora, Colorado, USA.; Department of Pathology and Cell Biology, Columbia University, New York, New York, USA.; Department of Pathology and Cell Biology, Columbia University, New York, New York, USA.; Department of Biochemistry and Molecular Genetics, University of Colorado Denver  - Anschutz Medical Campus, Aurora, Colorado, USA.&lt;/_author_adr&gt;&lt;_date_display&gt;2020 Jul 23&lt;/_date_display&gt;&lt;_date&gt;2020-07-23&lt;/_date&gt;&lt;_doi&gt;10.1172/jci.insight.140327&lt;/_doi&gt;&lt;_isbn&gt;2379-3708 (Electronic); 2379-3708 (Linking)&lt;/_isbn&gt;&lt;_issue&gt;14&lt;/_issue&gt;&lt;_journal&gt;JCI Insight&lt;/_journal&gt;&lt;_keywords&gt;*Amino acid metabolism; *COVID-19; *Intermediary metabolism; *Metabolism&lt;/_keywords&gt;&lt;_language&gt;eng&lt;/_language&gt;&lt;_subject_headings&gt;Adult; Aged; Amino Acids/metabolism; Betacoronavirus; Blood Glucose/metabolism; COVID-19; Case-Control Studies; Coronavirus Infections/*metabolism; Creatine/metabolism; Creatinine/metabolism; Cystine; Fatty Acids/*metabolism; Fatty Acids, Nonesterified/metabolism; Female; Humans; Interleukin-6/*metabolism; Kynurenine/*metabolism; Male; Metabolome; Metabolomics; Methionine/analogs &amp;amp; derivatives; Middle Aged; *Oxidative Stress; Pandemics; Pneumonia, Viral/*metabolism; Polyamines/metabolism; Proteolysis; Renal Insufficiency/*metabolism; SARS-CoV-2; Tryptophan/metabolism&lt;/_subject_headings&gt;&lt;_tertiary_title&gt;JCI insight&lt;/_tertiary_title&gt;&lt;_type_work&gt;Journal Article; Observational Study; Research Support, N.I.H., Extramural&lt;/_type_work&gt;&lt;_url&gt;http://www.ncbi.nlm.nih.gov/entrez/query.fcgi?cmd=Retrieve&amp;amp;db=pubmed&amp;amp;dopt=Abstract&amp;amp;list_uids=32559180&amp;amp;query_hl=1&lt;/_url&gt;&lt;_volume&gt;5&lt;/_volume&gt;&lt;_created&gt;64293017&lt;/_created&gt;&lt;_modified&gt;64293017&lt;/_modified&gt;&lt;_db_updated&gt;PubMed&lt;/_db_updated&gt;&lt;_impact_factor&gt;   8.315&lt;/_impact_factor&gt;&lt;/Details&gt;&lt;Extra&gt;&lt;DBUID&gt;{80FCD0DE-45A7-4B42-9F5C-3A940A7F46F3}&lt;/DBUID&gt;&lt;/Extra&gt;&lt;/Item&gt;&lt;/References&gt;&lt;/Group&gt;&lt;/Citation&gt;_x000a_"/>
    <w:docVar w:name="NE.Ref{C75A6D08-E6FE-4FB4-A9FF-A839F92CE82D}" w:val=" ADDIN NE.Ref.{C75A6D08-E6FE-4FB4-A9FF-A839F92CE82D}&lt;Citation&gt;&lt;Group&gt;&lt;References&gt;&lt;Item&gt;&lt;ID&gt;242&lt;/ID&gt;&lt;UID&gt;{E889933F-DB49-4365-B682-2A3EAE128F58}&lt;/UID&gt;&lt;Title&gt;Serum analysis of tryptophan catabolism pathway: correlation with Crohn&amp;apos;s disease activity&lt;/Title&gt;&lt;Template&gt;Journal Article&lt;/Template&gt;&lt;Star&gt;0&lt;/Star&gt;&lt;Tag&gt;0&lt;/Tag&gt;&lt;Author&gt;Gupta, N K; Thaker, A I; Kanuri, N; Riehl, T E; Rowley, C W; Stenson, W F; Ciorba, M A&lt;/Author&gt;&lt;Year&gt;2012&lt;/Year&gt;&lt;Details&gt;&lt;_accession_num&gt;21823214&lt;/_accession_num&gt;&lt;_author_adr&gt;Division of Gastroenterology, Washington University in Saint Louis School of Medicine, St. Louis, Missouri, USA.&lt;/_author_adr&gt;&lt;_date_display&gt;2012 Jul&lt;/_date_display&gt;&lt;_date&gt;2012-07-01&lt;/_date&gt;&lt;_doi&gt;10.1002/ibd.21849&lt;/_doi&gt;&lt;_isbn&gt;1536-4844 (Electronic); 1078-0998 (Linking)&lt;/_isbn&gt;&lt;_issue&gt;7&lt;/_issue&gt;&lt;_journal&gt;Inflamm Bowel Dis&lt;/_journal&gt;&lt;_language&gt;eng&lt;/_language&gt;&lt;_ori_publication&gt;Copyright (c) 2011 Crohn&amp;apos;s &amp;amp; Colitis Foundation of America, Inc.&lt;/_ori_publication&gt;&lt;_pages&gt;1214-20&lt;/_pages&gt;&lt;_subject_headings&gt;Adult; Biomarkers/*blood; Case-Control Studies; Chromatography, High Pressure Liquid; Crohn Disease/*blood/diagnosis/enzymology; Female; Humans; Immunoenzyme Techniques; Indoleamine-Pyrrole 2,3,-Dioxygenase/*metabolism; Kynurenine/*blood; Male; Middle Aged; Prognosis; Prospective Studies; Tryptophan/*blood; Young Adult&lt;/_subject_headings&gt;&lt;_tertiary_title&gt;Inflammatory bowel diseases&lt;/_tertiary_title&gt;&lt;_type_work&gt;Journal Article; Research Support, N.I.H., Extramural; Research Support, Non-U.S. Gov&amp;apos;t&lt;/_type_work&gt;&lt;_url&gt;http://www.ncbi.nlm.nih.gov/entrez/query.fcgi?cmd=Retrieve&amp;amp;db=pubmed&amp;amp;dopt=Abstract&amp;amp;list_uids=21823214&amp;amp;query_hl=1&lt;/_url&gt;&lt;_volume&gt;18&lt;/_volume&gt;&lt;_created&gt;64293019&lt;/_created&gt;&lt;_modified&gt;64293019&lt;/_modified&gt;&lt;_db_updated&gt;PubMed&lt;/_db_updated&gt;&lt;_impact_factor&gt;   5.325&lt;/_impact_factor&gt;&lt;_collection_scope&gt;SCI;SCIE&lt;/_collection_scope&gt;&lt;/Details&gt;&lt;Extra&gt;&lt;DBUID&gt;{80FCD0DE-45A7-4B42-9F5C-3A940A7F46F3}&lt;/DBUID&gt;&lt;/Extra&gt;&lt;/Item&gt;&lt;/References&gt;&lt;/Group&gt;&lt;/Citation&gt;_x000a_"/>
    <w:docVar w:name="NE.Ref{C7BCFC4C-977A-4B44-B18F-E52052A4F5A1}" w:val=" ADDIN NE.Ref.{C7BCFC4C-977A-4B44-B18F-E52052A4F5A1}&lt;Citation&gt;&lt;Group&gt;&lt;References&gt;&lt;Item&gt;&lt;ID&gt;845&lt;/ID&gt;&lt;UID&gt;{030BC433-A8C2-4DDF-921F-11F6A3A6F88C}&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reated&gt;65008582&lt;/_created&gt;&lt;_date&gt;2021-05-01&lt;/_date&gt;&lt;_date_display&gt;2021 May&lt;/_date_display&gt;&lt;_db_updated&gt;PubMed&lt;/_db_updated&gt;&lt;_doi&gt;10.3322/caac.21660&lt;/_doi&gt;&lt;_impact_factor&gt; 508.702&lt;/_impact_factor&gt;&lt;_isbn&gt;1542-4863 (Electronic); 0007-9235 (Linking)&lt;/_isbn&gt;&lt;_issue&gt;3&lt;/_issue&gt;&lt;_journal&gt;CA Cancer J Clin&lt;/_journal&gt;&lt;_keywords&gt;burden; cancer; epidemiology; incidence; mortality&lt;/_keywords&gt;&lt;_language&gt;eng&lt;/_language&gt;&lt;_modified&gt;65008587&lt;/_modified&gt;&lt;_ori_publication&gt;(c)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Details&gt;&lt;Extra&gt;&lt;DBUID&gt;{80FCD0DE-45A7-4B42-9F5C-3A940A7F46F3}&lt;/DBUID&gt;&lt;/Extra&gt;&lt;/Item&gt;&lt;/References&gt;&lt;/Group&gt;&lt;/Citation&gt;_x000a_"/>
    <w:docVar w:name="NE.Ref{C82061D2-C9BF-4E78-981A-DCFF98F241B3}" w:val=" ADDIN NE.Ref.{C82061D2-C9BF-4E78-981A-DCFF98F241B3}&lt;Citation&gt;&lt;Group&gt;&lt;References&gt;&lt;Item&gt;&lt;ID&gt;917&lt;/ID&gt;&lt;UID&gt;{873B3EF4-4B48-4CE8-BC77-3A32ED76A723}&lt;/UID&gt;&lt;Title&gt;Carcinoembryonic antigen (CEA) measurement during follow-up for rectal carcinoma  is useful even if normal levels exist before surgery. A retrospective study of  CEA values in the TME trial&lt;/Title&gt;&lt;Template&gt;Journal Article&lt;/Template&gt;&lt;Star&gt;0&lt;/Star&gt;&lt;Tag&gt;0&lt;/Tag&gt;&lt;Author&gt;Grossmann, I; de Bock, G H; Meershoek-Klein, Kranenbarg WM; van de Velde, C J; Wiggers, T&lt;/Author&gt;&lt;Year&gt;2007&lt;/Year&gt;&lt;Details&gt;&lt;_accession_num&gt;17174516&lt;/_accession_num&gt;&lt;_author_adr&gt;Department of Surgery, University Medical Center Groningen, University of  Groningen, PO Box 30.000, 9700 RD Groningen, The Netherlands.  i.grossmann@ziekenhuis-mst.nl&lt;/_author_adr&gt;&lt;_created&gt;65040001&lt;/_created&gt;&lt;_date&gt;2007-03-01&lt;/_date&gt;&lt;_date_display&gt;2007 Mar&lt;/_date_display&gt;&lt;_db_updated&gt;PubMed&lt;/_db_updated&gt;&lt;_doi&gt;10.1016/j.ejso.2006.10.035&lt;/_doi&gt;&lt;_impact_factor&gt;   4.424&lt;/_impact_factor&gt;&lt;_isbn&gt;0748-7983 (Print); 0748-7983 (Linking)&lt;/_isbn&gt;&lt;_issue&gt;2&lt;/_issue&gt;&lt;_journal&gt;Eur J Surg Oncol&lt;/_journal&gt;&lt;_language&gt;eng&lt;/_language&gt;&lt;_modified&gt;65040002&lt;/_modified&gt;&lt;_pages&gt;183-7&lt;/_pages&gt;&lt;_subject_headings&gt;Adult; Aged; Aged, 80 and over; Biomarkers, Tumor/*blood; Carcinoembryonic Antigen/*blood; Clinical Trials as Topic; Colectomy/*methods; Disease Progression; Female; Follow-Up Studies; Humans; Incidence; Male; Middle Aged; Neoplasm Recurrence, Local/blood/epidemiology; Netherlands/epidemiology; *Preoperative Care; Prognosis; Rectal Neoplasms/*blood/surgery; Retrospective Studies&lt;/_subject_headings&gt;&lt;_tertiary_title&gt;European journal of surgical oncology : the journal of the European Society of _x000d__x000a_      Surgical Oncology and the British Association of Surgical Oncology&lt;/_tertiary_title&gt;&lt;_type_work&gt;Journal Article&lt;/_type_work&gt;&lt;_url&gt;http://www.ncbi.nlm.nih.gov/entrez/query.fcgi?cmd=Retrieve&amp;amp;db=pubmed&amp;amp;dopt=Abstract&amp;amp;list_uids=17174516&amp;amp;query_hl=1&lt;/_url&gt;&lt;_volume&gt;33&lt;/_volume&gt;&lt;/Details&gt;&lt;Extra&gt;&lt;DBUID&gt;{80FCD0DE-45A7-4B42-9F5C-3A940A7F46F3}&lt;/DBUID&gt;&lt;/Extra&gt;&lt;/Item&gt;&lt;/References&gt;&lt;/Group&gt;&lt;/Citation&gt;_x000a_"/>
    <w:docVar w:name="NE.Ref{D832299C-B3D5-4CAD-84D2-9D126C8B00C5}" w:val=" ADDIN NE.Ref.{D832299C-B3D5-4CAD-84D2-9D126C8B00C5}&lt;Citation&gt;&lt;Group&gt;&lt;References&gt;&lt;Item&gt;&lt;ID&gt;921&lt;/ID&gt;&lt;UID&gt;{B1A51BEB-E8D9-41CB-BA39-A8A31BA9770E}&lt;/UID&gt;&lt;Title&gt;The human carcinoembryonic antigen (CEA) GPI anchor mediates anoikis inhibition  by inactivation of the intrinsic death pathway&lt;/Title&gt;&lt;Template&gt;Journal Article&lt;/Template&gt;&lt;Star&gt;0&lt;/Star&gt;&lt;Tag&gt;0&lt;/Tag&gt;&lt;Author&gt;Camacho-Leal, P; Stanners, C P&lt;/Author&gt;&lt;Year&gt;2008&lt;/Year&gt;&lt;Details&gt;&lt;_accession_num&gt;17891182&lt;/_accession_num&gt;&lt;_author_adr&gt;Department of Biochemistry and McGill Cancer Center, McGill University, Promenade  Sir-William Osler, Montreal, Quebec, Canada.&lt;/_author_adr&gt;&lt;_date_display&gt;2008 Mar 6&lt;/_date_display&gt;&lt;_date&gt;2008-03-06&lt;/_date&gt;&lt;_doi&gt;10.1038/sj.onc.1210789&lt;/_doi&gt;&lt;_isbn&gt;1476-5594 (Electronic); 0950-9232 (Linking)&lt;/_isbn&gt;&lt;_issue&gt;11&lt;/_issue&gt;&lt;_journal&gt;Oncogene&lt;/_journal&gt;&lt;_language&gt;eng&lt;/_language&gt;&lt;_pages&gt;1545-53&lt;/_pages&gt;&lt;_subject_headings&gt;Animals; Anoikis/*physiology; Apoptosis/*physiology; Blotting, Western; Carcinoembryonic Antigen/genetics/*metabolism; Caspase 9/metabolism; *Caspase Inhibitors; Cells, Cultured; Cytochromes c/metabolism; Enzyme Activation; Glycosylphosphatidylinositols/genetics/*metabolism; In Situ Nick-End Labeling; MAP Kinase Signaling System/physiology; Myoblasts/cytology/*metabolism; Neural Cell Adhesion Molecules/metabolism; Phosphatidylinositol 3-Kinases/metabolism; Proto-Oncogene Proteins c-akt/metabolism; Rats; Recombinant Fusion Proteins/metabolism; *Signal Transduction&lt;/_subject_headings&gt;&lt;_tertiary_title&gt;Oncogene&lt;/_tertiary_title&gt;&lt;_type_work&gt;Journal Article; Research Support, Non-U.S. Gov&amp;apos;t&lt;/_type_work&gt;&lt;_url&gt;http://www.ncbi.nlm.nih.gov/entrez/query.fcgi?cmd=Retrieve&amp;amp;db=pubmed&amp;amp;dopt=Abstract&amp;amp;list_uids=17891182&amp;amp;query_hl=1&lt;/_url&gt;&lt;_volume&gt;27&lt;/_volume&gt;&lt;_created&gt;65057637&lt;/_created&gt;&lt;_modified&gt;65057637&lt;/_modified&gt;&lt;_db_updated&gt;PubMed&lt;/_db_updated&gt;&lt;_impact_factor&gt;   9.867&lt;/_impact_factor&gt;&lt;_collection_scope&gt;SCI;SCIE&lt;/_collection_scope&gt;&lt;/Details&gt;&lt;Extra&gt;&lt;DBUID&gt;{80FCD0DE-45A7-4B42-9F5C-3A940A7F46F3}&lt;/DBUID&gt;&lt;/Extra&gt;&lt;/Item&gt;&lt;/References&gt;&lt;/Group&gt;&lt;/Citation&gt;_x000a_"/>
    <w:docVar w:name="NE.Ref{DBC5F730-DD3C-4FAA-B9A3-36A299292E49}" w:val=" ADDIN NE.Ref.{DBC5F730-DD3C-4FAA-B9A3-36A299292E49}&lt;Citation&gt;&lt;Group&gt;&lt;References&gt;&lt;Item&gt;&lt;ID&gt;239&lt;/ID&gt;&lt;UID&gt;{94CE337C-3F47-4F98-A866-CFB9014ADB17}&lt;/UID&gt;&lt;Title&gt;Intrathecal Administration of Nanoclusters for Protecting Neurons against Oxidative Stress in Cerebral Ischemia/Reperfusion Injury&lt;/Title&gt;&lt;Template&gt;Journal Article&lt;/Template&gt;&lt;Star&gt;0&lt;/Star&gt;&lt;Tag&gt;0&lt;/Tag&gt;&lt;Author&gt;Li, S; Jiang, D; Ehlerding, E B; Rosenkrans, Z T; Engle, J W; Wang, Y; Liu, H; Ni, D; Cai, W&lt;/Author&gt;&lt;Year&gt;2019&lt;/Year&gt;&lt;Details&gt;&lt;_accession_num&gt;31603304&lt;/_accession_num&gt;&lt;_author_adr&gt;Department of Rehabilitation , Second Affiliated Hospital of Nanchang University  , Nanchang City 330006 , China.; Departments of Radiology, Medical Physics, and Pharmaceutical Sciences , University of Wisconsin - Madison , Madison , Wisconsin 53705 , United States.; Departments of Radiology, Medical Physics, and Pharmaceutical Sciences , University of Wisconsin - Madison , Madison , Wisconsin 53705 , United States.; Departments of Radiology, Medical Physics, and Pharmaceutical Sciences , University of Wisconsin - Madison , Madison , Wisconsin 53705 , United States.; Departments of Radiology, Medical Physics, and Pharmaceutical Sciences , University of Wisconsin - Madison , Madison , Wisconsin 53705 , United States.; Departments of Radiology, Medical Physics, and Pharmaceutical Sciences , University of Wisconsin - Madison , Madison , Wisconsin 53705 , United States.; Department of Neurology , Second Affiliated Hospital of Nanchang University , Nanchang City 330006 , China.; Interdisciplinary Innovation Institute of Medicine and Engineering, Beijing Advanced Innovation Center for Big Data-Based Precision Medicine, School of Biological Science and Medical Engineering , Beihang University , Beijing 100191  , China.; Departments of Radiology, Medical Physics, and Pharmaceutical Sciences , University of Wisconsin - Madison , Madison , Wisconsin 53705 , United States.; Departments of Radiology, Medical Physics, and Pharmaceutical Sciences , University of Wisconsin - Madison , Madison , Wisconsin 53705 , United States.&lt;/_author_adr&gt;&lt;_date_display&gt;2019 Nov 26&lt;/_date_display&gt;&lt;_date&gt;2019-11-26&lt;/_date&gt;&lt;_doi&gt;10.1021/acsnano.9b06780&lt;/_doi&gt;&lt;_isbn&gt;1936-086X (Electronic); 1936-0851 (Linking)&lt;/_isbn&gt;&lt;_issue&gt;11&lt;/_issue&gt;&lt;_journal&gt;ACS Nano&lt;/_journal&gt;&lt;_keywords&gt;*cerebral ischemia/reperfusion injury; *intrathecal injection; *nano-antioxidants; *oxidative stress; *positron emission tomography&lt;/_keywords&gt;&lt;_language&gt;eng&lt;/_language&gt;&lt;_pages&gt;13382-13389&lt;/_pages&gt;&lt;_subject_headings&gt;Animals; Antioxidants/administration &amp;amp; dosage/*pharmacology; Brain Ischemia/diagnostic imaging/*drug therapy/metabolism; Disease Models, Animal; Injections, Spinal; Magnetic Resonance Imaging; Nanoparticles/administration &amp;amp; dosage/*chemistry; Neurons/drug effects; Neuroprotection/drug effects; Neuroprotective Agents/administration &amp;amp; dosage/*pharmacology; Oxidative Stress/drug effects; Positron-Emission Tomography; Rats; Rats, Sprague-Dawley; Reactive Oxygen Species/metabolism; Reperfusion Injury/diagnostic imaging/*drug therapy/metabolism; Tungsten Compounds/administration &amp;amp; dosage/*pharmacology&lt;/_subject_headings&gt;&lt;_tertiary_title&gt;ACS nano&lt;/_tertiary_title&gt;&lt;_type_work&gt;Journal Article; Research Support, Non-U.S. Gov&amp;apos;t&lt;/_type_work&gt;&lt;_url&gt;http://www.ncbi.nlm.nih.gov/entrez/query.fcgi?cmd=Retrieve&amp;amp;db=pubmed&amp;amp;dopt=Abstract&amp;amp;list_uids=31603304&amp;amp;query_hl=1&lt;/_url&gt;&lt;_volume&gt;13&lt;/_volume&gt;&lt;_created&gt;64291209&lt;/_created&gt;&lt;_modified&gt;64291209&lt;/_modified&gt;&lt;_db_updated&gt;PubMed&lt;/_db_updated&gt;&lt;_impact_factor&gt;  15.881&lt;/_impact_factor&gt;&lt;_collection_scope&gt;SCI;SCIE;EI&lt;/_collection_scope&gt;&lt;/Details&gt;&lt;Extra&gt;&lt;DBUID&gt;{80FCD0DE-45A7-4B42-9F5C-3A940A7F46F3}&lt;/DBUID&gt;&lt;/Extra&gt;&lt;/Item&gt;&lt;/References&gt;&lt;/Group&gt;&lt;Group&gt;&lt;References&gt;&lt;Item&gt;&lt;ID&gt;238&lt;/ID&gt;&lt;UID&gt;{8F84B126-5360-4957-9227-40D5B84ACEAB}&lt;/UID&gt;&lt;Title&gt;Molybdenum-based nanoclusters act as antioxidants and ameliorate acute kidney injury in mice&lt;/Title&gt;&lt;Template&gt;Journal Article&lt;/Template&gt;&lt;Star&gt;0&lt;/Star&gt;&lt;Tag&gt;0&lt;/Tag&gt;&lt;Author&gt;Ni, D; Jiang, D; Kutyreff, C J; Lai, J; Yan, Y; Barnhart, T E; Yu, B; Im, H J; Kang, L; Cho, S Y; Liu, Z; Huang, P; Engle, J W; Cai, W&lt;/Author&gt;&lt;Year&gt;2018&lt;/Year&gt;&lt;Details&gt;&lt;_accession_num&gt;30575745&lt;/_accession_num&gt;&lt;_author_adr&gt;Departments of Radiology and Medical Physics, University of Wisconsin, Madison, WI, 53705, USA.; Departments of Radiology and Medical Physics, University of Wisconsin, Madison, WI, 53705, USA.; Guangdong Key Laboratory for Biomedical Measurements and Ultrasound Imaging, School of Biomedical Engineering, Shenzhen University, 518060, Shenzhen, China.; Departments of Radiology and Medical Physics, University of Wisconsin, Madison, WI, 53705, USA.; Departments of Radiology and Medical Physics, University of Wisconsin, Madison, WI, 53705, USA.; Medical Isotopes Research Center and Department of Radiation Medicine, School of  Basic Medical Sciences, Peking University Health Science Center, 100191, Beijing, China.; Departments of Radiology and Medical Physics, University of Wisconsin, Madison, WI, 53705, USA.; Departments of Radiology and Medical Physics, University of Wisconsin, Madison, WI, 53705, USA.; Departments of Radiology and Medical Physics, University of Wisconsin, Madison, WI, 53705, USA.; Departments of Radiology and Medical Physics, University of Wisconsin, Madison, WI, 53705, USA.; Departments of Radiology and Medical Physics, University of Wisconsin, Madison, WI, 53705, USA.; Departments of Radiology and Medical Physics, University of Wisconsin, Madison, WI, 53705, USA.; Medical Isotopes Research Center and Department of Radiation Medicine, School of  Basic Medical Sciences, Peking University Health Science Center, 100191, Beijing, China. liuzf@bjmu.edu.cn.; Guangdong Key Laboratory for Biomedical Measurements and Ultrasound Imaging, School of Biomedical Engineering, Shenzhen University, 518060, Shenzhen, China.; Departments of Radiology and Medical Physics, University of Wisconsin, Madison, WI, 53705, USA.; Departments of Radiology and Medical Physics, University of Wisconsin, Madison, WI, 53705, USA. wcai@uwhealth.org.; University of Wisconsin Carbone Cancer Center, Madison, WI, 53705, USA. wcai@uwhealth.org.&lt;/_author_adr&gt;&lt;_date_display&gt;2018 Dec 21&lt;/_date_display&gt;&lt;_date&gt;2018-12-21&lt;/_date&gt;&lt;_doi&gt;10.1038/s41467-018-07890-8&lt;/_doi&gt;&lt;_isbn&gt;2041-1723 (Electronic); 2041-1723 (Linking)&lt;/_isbn&gt;&lt;_issue&gt;1&lt;/_issue&gt;&lt;_journal&gt;Nat Commun&lt;/_journal&gt;&lt;_language&gt;eng&lt;/_language&gt;&lt;_pages&gt;5421&lt;/_pages&gt;&lt;_subject_headings&gt;Acute Kidney Injury/*prevention &amp;amp; control; Animals; Antioxidants/*therapeutic use; Biomarkers/metabolism; Drug Evaluation, Preclinical; Female; Kidney/diagnostic imaging/metabolism; Mice, Inbred ICR; Molybdenum/*therapeutic use; Nanostructures/*therapeutic use; Positron-Emission Tomography; Reactive Oxygen Species&lt;/_subject_headings&gt;&lt;_tertiary_title&gt;Nature communications&lt;/_tertiary_title&gt;&lt;_type_work&gt;Journal Article; Research Support, N.I.H., Extramural; Research Support, Non-U.S. Gov&amp;apos;t&lt;/_type_work&gt;&lt;_url&gt;http://www.ncbi.nlm.nih.gov/entrez/query.fcgi?cmd=Retrieve&amp;amp;db=pubmed&amp;amp;dopt=Abstract&amp;amp;list_uids=30575745&amp;amp;query_hl=1&lt;/_url&gt;&lt;_volume&gt;9&lt;/_volume&gt;&lt;_created&gt;64291209&lt;/_created&gt;&lt;_modified&gt;64291209&lt;/_modified&gt;&lt;_db_updated&gt;PubMed&lt;/_db_updated&gt;&lt;_impact_factor&gt;  14.919&lt;/_impact_factor&gt;&lt;_collection_scope&gt;SCI;SCIE&lt;/_collection_scope&gt;&lt;/Details&gt;&lt;Extra&gt;&lt;DBUID&gt;{80FCD0DE-45A7-4B42-9F5C-3A940A7F46F3}&lt;/DBUID&gt;&lt;/Extra&gt;&lt;/Item&gt;&lt;/References&gt;&lt;/Group&gt;&lt;/Citation&gt;_x000a_"/>
    <w:docVar w:name="NE.Ref{DDB30BA2-855D-4510-AC8A-2DACEC5F9A33}" w:val=" ADDIN NE.Ref.{DDB30BA2-855D-4510-AC8A-2DACEC5F9A33}&lt;Citation&gt;&lt;Group&gt;&lt;References&gt;&lt;Item&gt;&lt;ID&gt;240&lt;/ID&gt;&lt;UID&gt;{68D1CE9F-AC00-41D5-8430-14C98E825B0C}&lt;/UID&gt;&lt;Title&gt;Ferroptosis: A Regulated Cell Death Nexus Linking Metabolism, Redox Biology, and  Disease&lt;/Title&gt;&lt;Template&gt;Journal Article&lt;/Template&gt;&lt;Star&gt;0&lt;/Star&gt;&lt;Tag&gt;0&lt;/Tag&gt;&lt;Author&gt;Stockwell, B R; Friedmann, Angeli JP; Bayir, H; Bush, A I; Conrad, M; Dixon, S J; Fulda, S; Gascon, S; Hatzios, S K; Kagan, V E; Noel, K; Jiang, X; Linkermann, A; Murphy, M E; Overholtzer, M; Oyagi, A; Pagnussat, G C; Park, J; Ran, Q; Rosenfeld, C S; Salnikow, K; Tang, D; Torti, F M; Torti, S V; Toyokuni, S; Woerpel, K A; Zhang, D D&lt;/Author&gt;&lt;Year&gt;2017&lt;/Year&gt;&lt;Details&gt;&lt;_accession_num&gt;28985560&lt;/_accession_num&gt;&lt;_author_adr&gt;Department of Biological Sciences, Columbia University, 550 West 120(th) Street,  MC 4846, New York, NY 10027, USA; Department of Chemistry, Columbia University, 550 West 120(th) Street, MC 4846, New York, NY 10027, USA. Electronic address: bstockwell@columbia.edu.; Institute of Developmental Genetics, Helmholtz Zentrum Munchen, Deutsches Forschungszentrum fur Gesundheit und Umwelt (GmbH), Munchen, Germany.; Department of Critical Care Medicine, Safar Center for Resuscitation Research and Center for Free Radical and Antioxidant Health, University of Pittsburgh and Children&amp;apos;s Hospital of Pittsburgh, Pittsburgh, PA, USA.; The Florey Institute of Neuroscience and Mental Health, The University of Melbourne, Parkville, VIC, Australia.; Institute of Developmental Genetics, Helmholtz Zentrum Munchen, Deutsches Forschungszentrum fur Gesundheit und Umwelt (GmbH), Munchen, Germany.; Department of Biology, Stanford University, Stanford, CA, USA.; Institute for Experimental Cancer Research in Pediatrics, Goethe-University Frankfurt, German Cancer Consortium (DKTK), partner site Frankfurt, German Cancer Research Center (DKFZ), Heidelberg, Germany.; Ludwig-Maximilians University of Munich, Physiological Genomics, Biomedical Center (BMC), Planegg-Martinsried, Germany; Institute for Stem Cell Research, Helmholtz Center Munich at the Biomedical Center (BMC), Grosshaderner Strasse 9,  82152 Planegg-Martinsried, Germany.; Department of Molecular, Cellular and Developmental Biology and Department of Chemistry, Yale University, New Haven, CT 06511, USA; Microbial Sciences Institute, Yale University, West Haven, CT 06516, USA.; Center for Free Radical and Antioxidant Health, Departments of Environmental Health, Pharmacology and Chemical Biology, Chemistry, Radiation Oncology, University of Pittsburgh, Pittsburgh, PA, USA.; Collaborative Medicinal Development, LLC, Sausalito, CA, USA.; Cell Biology Program, Memorial Sloan Kettering Cancer Center, New York, NY, USA.; Department of Internal Medicine III, Division of Nephrology, University Hospital  Carl Gustav Carus at Technische Universitat Dresden, Dresden, Germany.; Program in Molecular and Cellular Oncogenesis, The Wistar Institute, Philadelphia, PA, USA.; Cell Biology Program, Memorial Sloan Kettering Cancer Center, New York, NY, USA.; Ono Pharma USA, Lawrenceville, NJ 08648, USA.; Instituto de Investigaciones Biologicas, Consejo Nacional de Investigaciones Cientificas y Tecnicas (CONICET), Universidad Nacional de Mar del Plata, 7600 Mar del Plata, Argentina.; Flagship Pioneering, Cambridge, MA, USA.; Department of Cell Systems and Anatomy, University of Texas Health Science Center, San Antonio, TX, USA.; Collaborative Medicinal Development, LLC, Sausalito, CA, USA.; Division of Cancer Biology, National Cancer Institute, NIH, Rockville, MD 20850,  USA.; The Third Affiliated Hospital, Center for DAMP Biology, Key Laboratory for Major  Obstetric Diseases of Guangdong Province, Key Laboratory of Reproduction and Genetics of Guangdong Higher Education Institutes, Protein Modification and Degradation Laboratory, Guangzhou Medical University, Guangzhou, Guangdong, China; Department of Surgery, University of Pittsburgh, Pittsburgh, PA, USA.; Department of Medicine, University of Connecticut Health Center, Farmington, CT,  USA.; Department of Molecular Biology and Biophysics, University of Connecticut Health  Center, Farmington, CT, USA.; Department of Pathology and Biological Responses, Nagoya University Graduate School of Medicine, Nagoya, Japan.; Department of Chemistry, New York University, New York, NY, USA.; Department of Pharmacology and Toxicology, College of Pharmacy, University of Arizona, Tucson, AZ, USA.&lt;/_author_adr&gt;&lt;_date_display&gt;2017 Oct 5&lt;/_date_display&gt;&lt;_date&gt;2017-10-05&lt;/_date&gt;&lt;_doi&gt;10.1016/j.cell.2017.09.021&lt;/_doi&gt;&lt;_isbn&gt;1097-4172 (Electronic); 0092-8674 (Linking)&lt;/_isbn&gt;&lt;_issue&gt;2&lt;/_issue&gt;&lt;_journal&gt;Cell&lt;/_journal&gt;&lt;_keywords&gt;PUFA; ROS; cancer; cell death; ferroptosis; glutathione; iron; metabolism; neurodegeneration; peroxidation&lt;/_keywords&gt;&lt;_language&gt;eng&lt;/_language&gt;&lt;_ori_publication&gt;Copyright (c) 2017 Elsevier Inc. All rights reserved.&lt;/_ori_publication&gt;&lt;_pages&gt;273-285&lt;/_pages&gt;&lt;_subject_headings&gt;Animals; Apoptosis; *Cell Death; Humans; Iron/metabolism; Oxidation-Reduction; Reactive Oxygen Species/metabolism&lt;/_subject_headings&gt;&lt;_tertiary_title&gt;Cell&lt;/_tertiary_title&gt;&lt;_type_work&gt;Journal Article; Review&lt;/_type_work&gt;&lt;_url&gt;http://www.ncbi.nlm.nih.gov/entrez/query.fcgi?cmd=Retrieve&amp;amp;db=pubmed&amp;amp;dopt=Abstract&amp;amp;list_uids=28985560&amp;amp;query_hl=1&lt;/_url&gt;&lt;_volume&gt;171&lt;/_volume&gt;&lt;_created&gt;64292884&lt;/_created&gt;&lt;_modified&gt;64292884&lt;/_modified&gt;&lt;_db_updated&gt;PubMed&lt;/_db_updated&gt;&lt;_impact_factor&gt;  41.582&lt;/_impact_factor&gt;&lt;_collection_scope&gt;SCI;SCIE&lt;/_collection_scope&gt;&lt;/Details&gt;&lt;Extra&gt;&lt;DBUID&gt;{80FCD0DE-45A7-4B42-9F5C-3A940A7F46F3}&lt;/DBUID&gt;&lt;/Extra&gt;&lt;/Item&gt;&lt;/References&gt;&lt;/Group&gt;&lt;/Citation&gt;_x000a_"/>
    <w:docVar w:name="NE.Ref{E01414F2-EC79-4D22-8B52-AAC9CB0B6F5D}" w:val=" ADDIN NE.Ref.{E01414F2-EC79-4D22-8B52-AAC9CB0B6F5D}&lt;Citation&gt;&lt;Group&gt;&lt;References&gt;&lt;Item&gt;&lt;ID&gt;236&lt;/ID&gt;&lt;UID&gt;{B06CF21F-87BC-4C27-8E82-60815E4A5DAC}&lt;/UID&gt;&lt;Title&gt;A Polyoxometalate Cluster Paradigm with Self-Adaptive Electronic Structure for Acidity/Reducibility-Specific Photothermal Conversion&lt;/Title&gt;&lt;Template&gt;Journal Article&lt;/Template&gt;&lt;Star&gt;0&lt;/Star&gt;&lt;Tag&gt;0&lt;/Tag&gt;&lt;Author&gt;Zhang, C; Bu, W; Ni, D; Zuo, C; Cheng, C; Li, Q; Zhang, L; Wang, Z; Shi, J&lt;/Author&gt;&lt;Year&gt;2016&lt;/Year&gt;&lt;Details&gt;&lt;_accession_num&gt;27264421&lt;/_accession_num&gt;&lt;_author_adr&gt;State Key Laboratory of High Performance Ceramics and Superfine Microstructure, Shanghai Institute of Ceramics, Chinese Academy of Sciences , Shanghai 200050, P.R. China.; State Key Laboratory of High Performance Ceramics and Superfine Microstructure, Shanghai Institute of Ceramics, Chinese Academy of Sciences , Shanghai 200050, P.R. China.; Shanghai Key Laboratory of Green Chemistry and Chemical Processes, School of Chemistry and Molecular Engineering, East China Normal University , Shanghai 200062, P.R. China.; State Key Laboratory of High Performance Ceramics and Superfine Microstructure, Shanghai Institute of Ceramics, Chinese Academy of Sciences , Shanghai 200050, P.R. China.; Department of Nuclear Medicine, Changhai Hospital , Shanghai 200433, P.R. China.; Department of Nuclear Medicine, Changhai Hospital , Shanghai 200433, P.R. China.; State Key Laboratory of High Performance Ceramics and Superfine Microstructure, Shanghai Institute of Ceramics, Chinese Academy of Sciences , Shanghai 200050, P.R. China.; State Key Laboratory of High Performance Ceramics and Superfine Microstructure, Shanghai Institute of Ceramics, Chinese Academy of Sciences , Shanghai 200050, P.R. China.; State Key Laboratory of High Performance Ceramics and Superfine Microstructure, Shanghai Institute of Ceramics, Chinese Academy of Sciences , Shanghai 200050, P.R. China.; State Key Laboratory of High Performance Ceramics and Superfine Microstructure, Shanghai Institute of Ceramics, Chinese Academy of Sciences , Shanghai 200050, P.R. China.&lt;/_author_adr&gt;&lt;_date_display&gt;2016 Jul 6&lt;/_date_display&gt;&lt;_date&gt;2016-07-06&lt;/_date&gt;&lt;_doi&gt;10.1021/jacs.6b03375&lt;/_doi&gt;&lt;_isbn&gt;1520-5126 (Electronic); 0002-7863 (Linking)&lt;/_isbn&gt;&lt;_issue&gt;26&lt;/_issue&gt;&lt;_journal&gt;J Am Chem Soc&lt;/_journal&gt;&lt;_language&gt;eng&lt;/_language&gt;&lt;_pages&gt;8156-64&lt;/_pages&gt;&lt;_tertiary_title&gt;Journal of the American Chemical Society&lt;/_tertiary_title&gt;&lt;_type_work&gt;Journal Article; Research Support, Non-U.S. Gov&amp;apos;t&lt;/_type_work&gt;&lt;_url&gt;http://www.ncbi.nlm.nih.gov/entrez/query.fcgi?cmd=Retrieve&amp;amp;db=pubmed&amp;amp;dopt=Abstract&amp;amp;list_uids=27264421&amp;amp;query_hl=1&lt;/_url&gt;&lt;_volume&gt;138&lt;/_volume&gt;&lt;_created&gt;64290811&lt;/_created&gt;&lt;_modified&gt;64290811&lt;/_modified&gt;&lt;_db_updated&gt;PubMed&lt;/_db_updated&gt;&lt;_impact_factor&gt;  15.419&lt;/_impact_factor&gt;&lt;_collection_scope&gt;SCI;SCIE;EI&lt;/_collection_scope&gt;&lt;/Details&gt;&lt;Extra&gt;&lt;DBUID&gt;{80FCD0DE-45A7-4B42-9F5C-3A940A7F46F3}&lt;/DBUID&gt;&lt;/Extra&gt;&lt;/Item&gt;&lt;/References&gt;&lt;/Group&gt;&lt;Group&gt;&lt;References&gt;&lt;Item&gt;&lt;ID&gt;237&lt;/ID&gt;&lt;UID&gt;{374C7295-6379-4FD0-8AEC-B18FDEB6C6FD}&lt;/UID&gt;&lt;Title&gt;Radiolabeled polyoxometalate clusters: Kidney dysfunction evaluation and tumor diagnosis by positron emission tomography imaging&lt;/Title&gt;&lt;Template&gt;Journal Article&lt;/Template&gt;&lt;Star&gt;0&lt;/Star&gt;&lt;Tag&gt;0&lt;/Tag&gt;&lt;Author&gt;Ni, D; Jiang, D; Im, H J; Valdovinos, H F; Yu, B; Goel, S; Barnhart, T E; Huang, P; Cai, W&lt;/Author&gt;&lt;Year&gt;2018&lt;/Year&gt;&lt;Details&gt;&lt;_accession_num&gt;29689411&lt;/_accession_num&gt;&lt;_author_adr&gt;Department of Radiology, University of Wisconsin-Madison, Wisconsin, USA.; Department of Radiology, University of Wisconsin-Madison, Wisconsin, USA; Guangdong Key Laboratory for Biomedical Measurements and Ultrasound Imaging, School of Biomedical Engineering, Shenzhen University, Shenzhen, China.; Department of Radiology, University of Wisconsin-Madison, Wisconsin, USA; Department of Transdisciplinary Studies, Graduate School of Convergence Science and Technology, Seoul National University, Seoul, South Korea.; Department of Radiology, University of Wisconsin-Madison, Wisconsin, USA; Department of Medical Physics, University of Wisconsin-Madison, Wisconsin, USA.; Department of Radiology, University of Wisconsin-Madison, Wisconsin, USA.; Materials Science Program, University of Wisconsin-Madison, Wisconsin, USA.; Department of Radiology, University of Wisconsin-Madison, Wisconsin, USA; Department of Medical Physics, University of Wisconsin-Madison, Wisconsin, USA.; Department of Radiology, University of Wisconsin-Madison, Wisconsin, USA; Guangdong Key Laboratory for Biomedical Measurements and Ultrasound Imaging, School of Biomedical Engineering, Shenzhen University, Shenzhen, China.; Department of Radiology, University of Wisconsin-Madison, Wisconsin, USA; Materials Science Program, University of Wisconsin-Madison, Wisconsin, USA; Department of Medical Physics, University of Wisconsin-Madison, Wisconsin, USA; University of Wisconsin Carbone Cancer Center, Wisconsin, USA. Electronic address: wcai@uwhealth.org.&lt;/_author_adr&gt;&lt;_date_display&gt;2018 Jul&lt;/_date_display&gt;&lt;_date&gt;2018-07-01&lt;/_date&gt;&lt;_doi&gt;10.1016/j.biomaterials.2018.04.019&lt;/_doi&gt;&lt;_isbn&gt;1878-5905 (Electronic); 0142-9612 (Linking)&lt;/_isbn&gt;&lt;_journal&gt;Biomaterials&lt;/_journal&gt;&lt;_keywords&gt;*EPR effect; *Kidney dysfunction; *Nanomedicine; *Positron emission tomography; *Tumor diagnosis&lt;/_keywords&gt;&lt;_language&gt;eng&lt;/_language&gt;&lt;_ori_publication&gt;Copyright (c) 2018 Elsevier Ltd. All rights reserved.&lt;/_ori_publication&gt;&lt;_pages&gt;144-152&lt;/_pages&gt;&lt;_subject_headings&gt;Animals; Cell Line, Tumor; Kidney/*diagnostic imaging/*physiopathology; Kidney Neoplasms/*diagnosis/*diagnostic imaging/physiopathology; Mice; *Positron-Emission Tomography; Radiopharmaceuticals/*chemistry; Tungsten Compounds/*chemistry; Ureteral Obstruction/diagnostic imaging; Zirconium/administration &amp;amp; dosage/chemistry&lt;/_subject_headings&gt;&lt;_tertiary_title&gt;Biomaterials&lt;/_tertiary_title&gt;&lt;_type_work&gt;Journal Article; Research Support, N.I.H., Extramural; Research Support, Non-U.S. Gov&amp;apos;t&lt;/_type_work&gt;&lt;_url&gt;http://www.ncbi.nlm.nih.gov/entrez/query.fcgi?cmd=Retrieve&amp;amp;db=pubmed&amp;amp;dopt=Abstract&amp;amp;list_uids=29689411&amp;amp;query_hl=1&lt;/_url&gt;&lt;_volume&gt;171&lt;/_volume&gt;&lt;_created&gt;64290830&lt;/_created&gt;&lt;_modified&gt;64290830&lt;/_modified&gt;&lt;_db_updated&gt;PubMed&lt;/_db_updated&gt;&lt;_impact_factor&gt;  12.479&lt;/_impact_factor&gt;&lt;_collection_scope&gt;SCI;SCIE;EI&lt;/_collection_scope&gt;&lt;/Details&gt;&lt;Extra&gt;&lt;DBUID&gt;{80FCD0DE-45A7-4B42-9F5C-3A940A7F46F3}&lt;/DBUID&gt;&lt;/Extra&gt;&lt;/Item&gt;&lt;/References&gt;&lt;/Group&gt;&lt;/Citation&gt;_x000a_"/>
    <w:docVar w:name="NE.Ref{E12B9D82-37B6-4DDA-BA20-AB37507A53C5}" w:val=" ADDIN NE.Ref.{E12B9D82-37B6-4DDA-BA20-AB37507A53C5}&lt;Citation&gt;&lt;Group&gt;&lt;References&gt;&lt;Item&gt;&lt;ID&gt;195&lt;/ID&gt;&lt;UID&gt;{CEFE0BFD-0EE9-4E3F-9571-B447B54B16E5}&lt;/UID&gt;&lt;Title&gt;Neuroprotective effects of Hericium erinaceus (Bull.: Fr.) Pers. against high-dose corticosterone-induced oxidative stress in PC-12 cells&lt;/Title&gt;&lt;Template&gt;Journal Article&lt;/Template&gt;&lt;Star&gt;0&lt;/Star&gt;&lt;Tag&gt;0&lt;/Tag&gt;&lt;Author&gt;Lew, S Y; Lim, S H; Lim, L W; Wong, K H&lt;/Author&gt;&lt;Year&gt;2020&lt;/Year&gt;&lt;Details&gt;&lt;_accession_num&gt;33176761&lt;/_accession_num&gt;&lt;_author_adr&gt;Department of Anatomy, Faculty of Medicine, University of Malaya, 50603, Kuala Lumpur, Malaysia.; Department of Chemistry, Faculty of Science, University of Malaya, 50603, Kuala Lumpur, Malaysia.; Neuromodulation Laboratory, School of Biomedical Sciences, Li Ka Shing Faculty of Medicine, The University of Hong Kong, 21 Sassoon Road, Pokfulam, Hong Kong Special Administrative Region, China, China.; Department of Anatomy, Faculty of Medicine, University of Malaya, 50603, Kuala Lumpur, Malaysia. wkahhui@um.edu.my.&lt;/_author_adr&gt;&lt;_date_display&gt;2020 Nov 11&lt;/_date_display&gt;&lt;_date&gt;2020-11-11&lt;/_date&gt;&lt;_doi&gt;10.1186/s12906-020-03132-x&lt;/_doi&gt;&lt;_isbn&gt;2662-7671 (Electronic); 2662-7671 (Linking)&lt;/_isbn&gt;&lt;_issue&gt;1&lt;/_issue&gt;&lt;_journal&gt;BMC Complement Med Ther&lt;/_journal&gt;&lt;_keywords&gt;Depression mimicking; Endogenous antioxidant; Hericium erinaceus; Mitochondrial function; Oxidative stress&lt;/_keywords&gt;&lt;_language&gt;eng&lt;/_language&gt;&lt;_pages&gt;340&lt;/_pages&gt;&lt;_subject_headings&gt;Adenosine/pharmacology; Agaricales/chemistry; Animals; Apoptosis/drug effects; Cell Survival/drug effects; Corticosterone/*adverse effects; Hericium/*chemistry; Mitochondria/drug effects/metabolism; Neurons/cytology/*drug effects/metabolism; Neuroprotective Agents/*pharmacology; Oxidative Stress/*drug effects; PC12 Cells; Plant Extracts/*pharmacology; Pyrones/pharmacology; Rats; Reactive Oxygen Species/metabolism&lt;/_subject_headings&gt;&lt;_tertiary_title&gt;BMC complementary medicine and therapies&lt;/_tertiary_title&gt;&lt;_type_work&gt;Journal Article&lt;/_type_work&gt;&lt;_url&gt;http://www.ncbi.nlm.nih.gov/entrez/query.fcgi?cmd=Retrieve&amp;amp;db=pubmed&amp;amp;dopt=Abstract&amp;amp;list_uids=33176761&amp;amp;query_hl=1&lt;/_url&gt;&lt;_volume&gt;20&lt;/_volume&gt;&lt;_created&gt;64284396&lt;/_created&gt;&lt;_modified&gt;64284396&lt;/_modified&gt;&lt;_db_updated&gt;PubMed&lt;/_db_updated&gt;&lt;/Details&gt;&lt;Extra&gt;&lt;DBUID&gt;{80FCD0DE-45A7-4B42-9F5C-3A940A7F46F3}&lt;/DBUID&gt;&lt;/Extra&gt;&lt;/Item&gt;&lt;/References&gt;&lt;/Group&gt;&lt;/Citation&gt;_x000a_"/>
    <w:docVar w:name="NE.Ref{E2E713B3-1930-4EF6-9F67-8C1D3EF99EF1}" w:val=" ADDIN NE.Ref.{E2E713B3-1930-4EF6-9F67-8C1D3EF99EF1}&lt;Citation&gt;&lt;Group&gt;&lt;References&gt;&lt;Item&gt;&lt;ID&gt;899&lt;/ID&gt;&lt;UID&gt;{69942B65-A14D-483B-BE7F-CDE02D37F107}&lt;/UID&gt;&lt;Title&gt;Diagnosis and Treatment of Metastatic Colorectal Cancer: A Review&lt;/Title&gt;&lt;Template&gt;Journal Article&lt;/Template&gt;&lt;Star&gt;0&lt;/Star&gt;&lt;Tag&gt;0&lt;/Tag&gt;&lt;Author&gt;Biller, L H; Schrag, D&lt;/Author&gt;&lt;Year&gt;2021&lt;/Year&gt;&lt;Details&gt;&lt;_accession_num&gt;33591350&lt;/_accession_num&gt;&lt;_author_adr&gt;Division of Gastrointestinal Oncology, Dana Farber Cancer Institute, Boston,  Massachusetts.; Department of Medical Oncology, Harvard Medical School, Boston, Massachusetts.; Division of Gastrointestinal Oncology, Dana Farber Cancer Institute, Boston,  Massachusetts.; Department of Medical Oncology, Harvard Medical School, Boston, Massachusetts.; Division of Population Sciences, Dana Farber Cancer Institute, Boston,  Massachusetts.; Associate Editor, JAMA.&lt;/_author_adr&gt;&lt;_created&gt;65031641&lt;/_created&gt;&lt;_date&gt;2021-02-16&lt;/_date&gt;&lt;_date_display&gt;2021 Feb 16&lt;/_date_display&gt;&lt;_db_updated&gt;PubMed&lt;/_db_updated&gt;&lt;_doi&gt;10.1001/jama.2021.0106&lt;/_doi&gt;&lt;_impact_factor&gt;  56.274&lt;/_impact_factor&gt;&lt;_isbn&gt;1538-3598 (Electronic); 0098-7484 (Linking)&lt;/_isbn&gt;&lt;_issue&gt;7&lt;/_issue&gt;&lt;_journal&gt;JAMA&lt;/_journal&gt;&lt;_language&gt;eng&lt;/_language&gt;&lt;_modified&gt;65031641&lt;/_modified&gt;&lt;_pages&gt;669-685&lt;/_pages&gt;&lt;_subject_headings&gt;Antineoplastic Agents/*therapeutic use; Colorectal Neoplasms/diagnosis/drug therapy/pathology/*secondary; Female; Genetic Profile; Humans; Maintenance Chemotherapy; Male; Molecular Diagnostic Techniques; Prognosis; Survival Rate&lt;/_subject_headings&gt;&lt;_tertiary_title&gt;JAMA&lt;/_tertiary_title&gt;&lt;_type_work&gt;Journal Article; Research Support, Non-U.S. Gov&amp;apos;t; Review&lt;/_type_work&gt;&lt;_url&gt;http://www.ncbi.nlm.nih.gov/entrez/query.fcgi?cmd=Retrieve&amp;amp;db=pubmed&amp;amp;dopt=Abstract&amp;amp;list_uids=33591350&amp;amp;query_hl=1&lt;/_url&gt;&lt;_volume&gt;325&lt;/_volume&gt;&lt;/Details&gt;&lt;Extra&gt;&lt;DBUID&gt;{80FCD0DE-45A7-4B42-9F5C-3A940A7F46F3}&lt;/DBUID&gt;&lt;/Extra&gt;&lt;/Item&gt;&lt;/References&gt;&lt;/Group&gt;&lt;/Citation&gt;_x000a_"/>
    <w:docVar w:name="NE.Ref{E3B6BDCD-74EA-4274-8E97-50666C098CFD}" w:val=" ADDIN NE.Ref.{E3B6BDCD-74EA-4274-8E97-50666C098CFD}&lt;Citation&gt;&lt;Group&gt;&lt;References&gt;&lt;Item&gt;&lt;ID&gt;233&lt;/ID&gt;&lt;UID&gt;{FECD9AF2-CE96-461D-B672-B620D760E61F}&lt;/UID&gt;&lt;Title&gt;Generation and Detection of Reactive Oxygen Species in Photocatalysis&lt;/Title&gt;&lt;Template&gt;Journal Article&lt;/Template&gt;&lt;Star&gt;0&lt;/Star&gt;&lt;Tag&gt;0&lt;/Tag&gt;&lt;Author&gt;Nosaka, Y; Nosaka, A Y&lt;/Author&gt;&lt;Year&gt;2017&lt;/Year&gt;&lt;Details&gt;&lt;_accession_num&gt;28777548&lt;/_accession_num&gt;&lt;_author_adr&gt;Department of Materials Science and Technology, Nagaoka University of Technology  Nagaoka 940-2188, Japan.; Department of Materials Science and Technology, Nagaoka University of Technology  Nagaoka 940-2188, Japan.&lt;/_author_adr&gt;&lt;_date_display&gt;2017 Sep 13&lt;/_date_display&gt;&lt;_date&gt;2017-09-13&lt;/_date&gt;&lt;_doi&gt;10.1021/acs.chemrev.7b00161&lt;/_doi&gt;&lt;_isbn&gt;1520-6890 (Electronic); 0009-2665 (Linking)&lt;/_isbn&gt;&lt;_issue&gt;17&lt;/_issue&gt;&lt;_journal&gt;Chem Rev&lt;/_journal&gt;&lt;_language&gt;eng&lt;/_language&gt;&lt;_pages&gt;11302-11336&lt;/_pages&gt;&lt;_tertiary_title&gt;Chemical reviews&lt;/_tertiary_title&gt;&lt;_type_work&gt;Journal Article&lt;/_type_work&gt;&lt;_url&gt;http://www.ncbi.nlm.nih.gov/entrez/query.fcgi?cmd=Retrieve&amp;amp;db=pubmed&amp;amp;dopt=Abstract&amp;amp;list_uids=28777548&amp;amp;query_hl=1&lt;/_url&gt;&lt;_volume&gt;117&lt;/_volume&gt;&lt;_created&gt;64289679&lt;/_created&gt;&lt;_modified&gt;64289679&lt;/_modified&gt;&lt;_db_updated&gt;PubMed&lt;/_db_updated&gt;&lt;_impact_factor&gt;  60.622&lt;/_impact_factor&gt;&lt;_collection_scope&gt;SCI;SCIE;EI&lt;/_collection_scope&gt;&lt;/Details&gt;&lt;Extra&gt;&lt;DBUID&gt;{80FCD0DE-45A7-4B42-9F5C-3A940A7F46F3}&lt;/DBUID&gt;&lt;/Extra&gt;&lt;/Item&gt;&lt;/References&gt;&lt;/Group&gt;&lt;/Citation&gt;_x000a_"/>
    <w:docVar w:name="NE.Ref{E90DB094-33E1-47C9-8DB1-4B03919A930C}" w:val=" ADDIN NE.Ref.{E90DB094-33E1-47C9-8DB1-4B03919A930C}&lt;Citation&gt;&lt;Group&gt;&lt;References&gt;&lt;Item&gt;&lt;ID&gt;850&lt;/ID&gt;&lt;UID&gt;{DD22F60A-A1EF-4271-BD7A-5577B9EAA618}&lt;/UID&gt;&lt;Title&gt;Specific carcinoembryonic antigens of the human digestive system&lt;/Title&gt;&lt;Template&gt;Journal Article&lt;/Template&gt;&lt;Star&gt;0&lt;/Star&gt;&lt;Tag&gt;0&lt;/Tag&gt;&lt;Author&gt;Gold, P; Freedman, S O&lt;/Author&gt;&lt;Year&gt;1965&lt;/Year&gt;&lt;Details&gt;&lt;_accession_num&gt;4953873&lt;/_accession_num&gt;&lt;_collection_scope&gt;SCI;SCIE&lt;/_collection_scope&gt;&lt;_created&gt;65012727&lt;/_created&gt;&lt;_date&gt;1965-09-01&lt;/_date&gt;&lt;_date_display&gt;1965 Sep 1&lt;/_date_display&gt;&lt;_db_updated&gt;PubMed&lt;/_db_updated&gt;&lt;_doi&gt;10.1084/jem.122.3.467&lt;/_doi&gt;&lt;_impact_factor&gt;  14.307&lt;/_impact_factor&gt;&lt;_isbn&gt;0022-1007 (Print); 1540-9538 (Electronic); 0022-1007 (Linking)&lt;/_isbn&gt;&lt;_issue&gt;3&lt;/_issue&gt;&lt;_journal&gt;J Exp Med&lt;/_journal&gt;&lt;_language&gt;eng&lt;/_language&gt;&lt;_modified&gt;65012727&lt;/_modified&gt;&lt;_pages&gt;467-81&lt;/_pages&gt;&lt;_subject_headings&gt;*Antigens; Cell Differentiation; Colonic Neoplasms/*immunology; Enzyme Repression; Female; *Fetus; Gastrointestinal Neoplasms/*immunology; Humans; Immunodiffusion; *Intestines; *Liver; Molecular Biology; *Pancreas; Pregnancy; RNA, Messenger/biosynthesis&lt;/_subject_headings&gt;&lt;_tertiary_title&gt;The Journal of experimental medicine&lt;/_tertiary_title&gt;&lt;_type_work&gt;Journal Article&lt;/_type_work&gt;&lt;_url&gt;http://www.ncbi.nlm.nih.gov/entrez/query.fcgi?cmd=Retrieve&amp;amp;db=pubmed&amp;amp;dopt=Abstract&amp;amp;list_uids=4953873&amp;amp;query_hl=1&lt;/_url&gt;&lt;_volume&gt;122&lt;/_volume&gt;&lt;/Details&gt;&lt;Extra&gt;&lt;DBUID&gt;{80FCD0DE-45A7-4B42-9F5C-3A940A7F46F3}&lt;/DBUID&gt;&lt;/Extra&gt;&lt;/Item&gt;&lt;/References&gt;&lt;/Group&gt;&lt;Group&gt;&lt;References&gt;&lt;Item&gt;&lt;ID&gt;851&lt;/ID&gt;&lt;UID&gt;{BE4FDEE7-EC6E-4C37-B589-9D8FE3CECC3D}&lt;/UID&gt;&lt;Title&gt;Carcinoembryonic antigen is the preferred biomarker for in vivo colorectal cancer  targeting&lt;/Title&gt;&lt;Template&gt;Journal Article&lt;/Template&gt;&lt;Star&gt;0&lt;/Star&gt;&lt;Tag&gt;0&lt;/Tag&gt;&lt;Author&gt;Tiernan, J P; Perry, S L; Verghese, E T; West, N P; Yeluri, S; Jayne, D G; Hughes, T A&lt;/Author&gt;&lt;Year&gt;2013&lt;/Year&gt;&lt;Details&gt;&lt;_accession_num&gt;23322207&lt;/_accession_num&gt;&lt;_author_adr&gt;Leeds Institute of Molecular Medicine, Wellcome Trust Brenner Building, St.  James&amp;apos;s University Hospital, University of Leeds, Leeds LS9 7TF, UK.  jimtiernan1@gmail.com&lt;/_author_adr&gt;&lt;_created&gt;65012728&lt;/_created&gt;&lt;_date&gt;2013-02-19&lt;/_date&gt;&lt;_date_display&gt;2013 Feb 19&lt;/_date_display&gt;&lt;_db_updated&gt;PubMed&lt;/_db_updated&gt;&lt;_doi&gt;10.1038/bjc.2012.605&lt;/_doi&gt;&lt;_impact_factor&gt;   7.640&lt;/_impact_factor&gt;&lt;_isbn&gt;1532-1827 (Electronic); 0007-0920 (Print); 0007-0920 (Linking)&lt;/_isbn&gt;&lt;_issue&gt;3&lt;/_issue&gt;&lt;_journal&gt;Br J Cancer&lt;/_journal&gt;&lt;_language&gt;eng&lt;/_language&gt;&lt;_modified&gt;65012728&lt;/_modified&gt;&lt;_pages&gt;662-7&lt;/_pages&gt;&lt;_subject_headings&gt;Adult; Aged; Aged, 80 and over; Antigens, Neoplasm/metabolism; Biomarkers, Tumor/*metabolism; Carcinoembryonic Antigen/*metabolism; Case-Control Studies; Colon/*metabolism; Colorectal Neoplasms/*metabolism/pathology; ErbB Receptors/metabolism; Female; Folate Receptor 1/metabolism; Follow-Up Studies; Glycoproteins/metabolism; Humans; Immunoenzyme Techniques; Male; Middle Aged; Neoplasm Staging; Prognosis; Prospective Studies; ROC Curve; Rectum/*metabolism&lt;/_subject_headings&gt;&lt;_tertiary_title&gt;British journal of cancer&lt;/_tertiary_title&gt;&lt;_type_work&gt;Comparative Study; Journal Article; Research Support, Non-U.S. Gov&amp;apos;t&lt;/_type_work&gt;&lt;_url&gt;http://www.ncbi.nlm.nih.gov/entrez/query.fcgi?cmd=Retrieve&amp;amp;db=pubmed&amp;amp;dopt=Abstract&amp;amp;list_uids=23322207&amp;amp;query_hl=1&lt;/_url&gt;&lt;_volume&gt;108&lt;/_volume&gt;&lt;/Details&gt;&lt;Extra&gt;&lt;DBUID&gt;{80FCD0DE-45A7-4B42-9F5C-3A940A7F46F3}&lt;/DBUID&gt;&lt;/Extra&gt;&lt;/Item&gt;&lt;/References&gt;&lt;/Group&gt;&lt;/Citation&gt;_x000a_"/>
    <w:docVar w:name="NE.Ref{E9EC391B-3EA3-4AFE-8929-E88801D2BB6E}" w:val=" ADDIN NE.Ref.{E9EC391B-3EA3-4AFE-8929-E88801D2BB6E}&lt;Citation&gt;&lt;Group&gt;&lt;References&gt;&lt;Item&gt;&lt;ID&gt;864&lt;/ID&gt;&lt;UID&gt;{594305B4-A724-4FD4-88F1-11305EEE23AD}&lt;/UID&gt;&lt;Title&gt;Prognostic factors in colon carcinoma: correlation of serum carcinoembryonic  antigen level and tumor histopathology&lt;/Title&gt;&lt;Template&gt;Journal Article&lt;/Template&gt;&lt;Star&gt;0&lt;/Star&gt;&lt;Tag&gt;0&lt;/Tag&gt;&lt;Author&gt;Zamcheck, N; Doos, W G; Prudente, R; Lurie, B B; Gottlieb, L S&lt;/Author&gt;&lt;Year&gt;1975&lt;/Year&gt;&lt;Details&gt;&lt;_accession_num&gt;1110084&lt;/_accession_num&gt;&lt;_collection_scope&gt;SCI;SCIE&lt;/_collection_scope&gt;&lt;_created&gt;65017207&lt;/_created&gt;&lt;_date&gt;1975-01-01&lt;/_date&gt;&lt;_date_display&gt;1975 Jan&lt;/_date_display&gt;&lt;_db_updated&gt;PubMed&lt;/_db_updated&gt;&lt;_doi&gt;10.1016/s0046-8177(75)80108-0&lt;/_doi&gt;&lt;_impact_factor&gt;   3.466&lt;/_impact_factor&gt;&lt;_isbn&gt;0046-8177 (Print); 0046-8177 (Linking)&lt;/_isbn&gt;&lt;_issue&gt;1&lt;/_issue&gt;&lt;_journal&gt;Hum Pathol&lt;/_journal&gt;&lt;_language&gt;eng&lt;/_language&gt;&lt;_modified&gt;65017208&lt;/_modified&gt;&lt;_pages&gt;31-45&lt;/_pages&gt;&lt;_subject_headings&gt;Adenocarcinoma/immunology/*pathology/surgery; Blood Vessels/pathology; Carcinoembryonic Antigen/*analysis; Colonic Neoplasms/immunology/*pathology/surgery; Follow-Up Studies; Humans; Lymphatic Metastasis; Lymphocytes/pathology; Neoplasm Metastasis; Plasma Cells/pathology; Prognosis&lt;/_subject_headings&gt;&lt;_tertiary_title&gt;Human pathology&lt;/_tertiary_title&gt;&lt;_type_work&gt;Journal Article; Research Support, U.S. Gov&amp;apos;t, P.H.S.&lt;/_type_work&gt;&lt;_url&gt;http://www.ncbi.nlm.nih.gov/entrez/query.fcgi?cmd=Retrieve&amp;amp;db=pubmed&amp;amp;dopt=Abstract&amp;amp;list_uids=1110084&amp;amp;query_hl=1&lt;/_url&gt;&lt;_volume&gt;6&lt;/_volume&gt;&lt;/Details&gt;&lt;Extra&gt;&lt;DBUID&gt;{80FCD0DE-45A7-4B42-9F5C-3A940A7F46F3}&lt;/DBUID&gt;&lt;/Extra&gt;&lt;/Item&gt;&lt;/References&gt;&lt;/Group&gt;&lt;/Citation&gt;_x000a_"/>
    <w:docVar w:name="NE.Ref{EAD5AE5D-2E22-433C-88AA-40B57ABDCBC4}" w:val=" ADDIN NE.Ref.{EAD5AE5D-2E22-433C-88AA-40B57ABDCBC4}&lt;Citation&gt;&lt;Group&gt;&lt;References&gt;&lt;Item&gt;&lt;ID&gt;807&lt;/ID&gt;&lt;UID&gt;{FFA3A607-11F8-4BF6-992E-561FB0758BF7}&lt;/UID&gt;&lt;Title&gt;Exploration and validation of a combined immune and metabolism gene signature for  prognosis prediction of colorectal cancer&lt;/Title&gt;&lt;Template&gt;Journal Article&lt;/Template&gt;&lt;Star&gt;0&lt;/Star&gt;&lt;Tag&gt;5&lt;/Tag&gt;&lt;Author&gt;Xiao, Y; Zhang, G; Wang, L; Liang, M&lt;/Author&gt;&lt;Year&gt;2022&lt;/Year&gt;&lt;Details&gt;&lt;_accessed&gt;64838747&lt;/_accessed&gt;&lt;_accession_num&gt;36518242&lt;/_accession_num&gt;&lt;_author_adr&gt;Guangdong Provincial Key Laboratory of Biomedical Imaging and Guangdong  Provincial Engineering Research Center of Molecular Imaging, The Fifth Affiliated  Hospital, Sun Yat-sen University, Zhuhai, Guangdong, China.; Department of Interventional Oncology, The First Affiliated Hospital, Sun Yat-sen  University, Guangzhou, Guangdong, China.; Department of Radiology, The Fifth Affiliated Hospital, Sun Yat-sen University,  Zhuhai, Guangdong, China.; Department of Radiology, The Fifth Affiliated Hospital, Sun Yat-sen University,  Zhuhai, Guangdong, China.&lt;/_author_adr&gt;&lt;_created&gt;64838747&lt;/_created&gt;&lt;_date&gt;2022-01-20&lt;/_date&gt;&lt;_date_display&gt;2022&lt;/_date_display&gt;&lt;_db_updated&gt;PubMed&lt;/_db_updated&gt;&lt;_doi&gt;10.3389/fendo.2022.1069528&lt;/_doi&gt;&lt;_impact_factor&gt;   5.555&lt;/_impact_factor&gt;&lt;_isbn&gt;1664-2392 (Print); 1664-2392 (Electronic); 1664-2392 (Linking)&lt;/_isbn&gt;&lt;_journal&gt;Front Endocrinol (Lausanne)&lt;/_journal&gt;&lt;_keywords&gt;colorectal cancer; gene signature; immune; metabolism; prognosis&lt;/_keywords&gt;&lt;_language&gt;eng&lt;/_language&gt;&lt;_modified&gt;64838748&lt;/_modified&gt;&lt;_ori_publication&gt;Copyright (c) 2022 Xiao, Zhang, Wang and Liang.&lt;/_ori_publication&gt;&lt;_pages&gt;1069528&lt;/_pages&gt;&lt;_subject_headings&gt;Humans; *Carcinoma, Hepatocellular; *Liver Neoplasms; Prognosis; Nomograms; *Colorectal Neoplasms/diagnosis/genetics&lt;/_subject_headings&gt;&lt;_tertiary_title&gt;Frontiers in endocrinology&lt;/_tertiary_title&gt;&lt;_type_work&gt;Journal Article; Research Support, Non-U.S. Gov&amp;apos;t&lt;/_type_work&gt;&lt;_url&gt;http://www.ncbi.nlm.nih.gov/entrez/query.fcgi?cmd=Retrieve&amp;amp;db=pubmed&amp;amp;dopt=Abstract&amp;amp;list_uids=36518242&amp;amp;query_hl=1&lt;/_url&gt;&lt;_volume&gt;13&lt;/_volume&gt;&lt;/Details&gt;&lt;Extra&gt;&lt;DBUID&gt;{80FCD0DE-45A7-4B42-9F5C-3A940A7F46F3}&lt;/DBUID&gt;&lt;/Extra&gt;&lt;/Item&gt;&lt;/References&gt;&lt;/Group&gt;&lt;/Citation&gt;_x000a_"/>
    <w:docVar w:name="NE.Ref{EF9168DE-FF97-4BC9-9B07-AB6D865ED672}" w:val=" ADDIN NE.Ref.{EF9168DE-FF97-4BC9-9B07-AB6D865ED672}&lt;Citation&gt;&lt;Group&gt;&lt;References&gt;&lt;Item&gt;&lt;ID&gt;188&lt;/ID&gt;&lt;UID&gt;{D48129DF-E1CF-4798-AD17-BB8BDFEDED4A}&lt;/UID&gt;&lt;Title&gt;Transcriptional Signatures That Define Ulcerative Colitis in Remission&lt;/Title&gt;&lt;Template&gt;Journal Article&lt;/Template&gt;&lt;Star&gt;0&lt;/Star&gt;&lt;Tag&gt;0&lt;/Tag&gt;&lt;Author&gt;Fenton, C G; Taman, H; Florholmen, J; Sorbye, S W; Paulssen, R H&lt;/Author&gt;&lt;Year&gt;2021&lt;/Year&gt;&lt;Details&gt;&lt;_accession_num&gt;32322884&lt;/_accession_num&gt;&lt;_author_adr&gt;Department of Clinical Medicine, Genomics Support Centre Tromso, UiT-The Arctic University of Norway, Tromso, Norway.; Department of Clinical Medicine, Genomics Support Centre Tromso, UiT-The Arctic University of Norway, Tromso, Norway.; Department of Clinical Medicine, Gastroenterology and Nutrition Research Group, UiT-The Arctic University of Norway, Tromso, Norway.; Department of Clinical Medicine, Gastroenterology and Nutrition Research Group, UiT-The Arctic University of Norway, Tromso, Norway.; Department of Medical Gastroenterology, University Hospital of North Norway, Tromso, Norway.; section signDepartment of Clinical Pathology, University Hospital of North Norway, Tromso, Norway.; Department of Clinical Medicine, Genomics Support Centre Tromso, UiT-The Arctic University of Norway, Tromso, Norway.; Department of Clinical Medicine, Gastroenterology and Nutrition Research Group, UiT-The Arctic University of Norway, Tromso, Norway.&lt;/_author_adr&gt;&lt;_date_display&gt;2021 Jan 1&lt;/_date_display&gt;&lt;_date&gt;2021-01-01&lt;/_date&gt;&lt;_doi&gt;10.1093/ibd/izaa075&lt;/_doi&gt;&lt;_isbn&gt;1536-4844 (Electronic); 1078-0998 (Linking)&lt;/_isbn&gt;&lt;_issue&gt;1&lt;/_issue&gt;&lt;_journal&gt;Inflamm Bowel Dis&lt;/_journal&gt;&lt;_keywords&gt;*molecular signatures; *remission; *ulcerative colitis&lt;/_keywords&gt;&lt;_language&gt;eng&lt;/_language&gt;&lt;_ori_publication&gt;(c) 2020 Crohn&amp;apos;s &amp;amp; Colitis Foundation. Published by Oxford University Press on_x000d__x000a_      behalf of Crohn&amp;apos;s &amp;amp; Colitis Foundation.&lt;/_ori_publication&gt;&lt;_pages&gt;94-105&lt;/_pages&gt;&lt;_subject_headings&gt;Adult; Case-Control Studies; Colitis, Ulcerative/*genetics; Colon/*metabolism; Connexins/metabolism; Ephrins/metabolism; Female; Glycosylation; High-Throughput Nucleotide Sequencing; Humans; Intestinal Mucosa/*metabolism; Male; Middle Aged; Mucins/metabolism; Principal Component Analysis; Remission Induction; Toll-Like Receptors/metabolism; Transcriptome/*genetics&lt;/_subject_headings&gt;&lt;_tertiary_title&gt;Inflammatory bowel diseases&lt;/_tertiary_title&gt;&lt;_type_work&gt;Comparative Study; Journal Article; Research Support, Non-U.S. Gov&amp;apos;t&lt;/_type_work&gt;&lt;_url&gt;http://www.ncbi.nlm.nih.gov/entrez/query.fcgi?cmd=Retrieve&amp;amp;db=pubmed&amp;amp;dopt=Abstract&amp;amp;list_uids=32322884&amp;amp;query_hl=1&lt;/_url&gt;&lt;_volume&gt;27&lt;/_volume&gt;&lt;_created&gt;64284001&lt;/_created&gt;&lt;_modified&gt;64284001&lt;/_modified&gt;&lt;_db_updated&gt;PubMed&lt;/_db_updated&gt;&lt;_impact_factor&gt;   5.325&lt;/_impact_factor&gt;&lt;_collection_scope&gt;SCI;SCIE&lt;/_collection_scope&gt;&lt;/Details&gt;&lt;Extra&gt;&lt;DBUID&gt;{80FCD0DE-45A7-4B42-9F5C-3A940A7F46F3}&lt;/DBUID&gt;&lt;/Extra&gt;&lt;/Item&gt;&lt;/References&gt;&lt;/Group&gt;&lt;Group&gt;&lt;References&gt;&lt;Item&gt;&lt;ID&gt;189&lt;/ID&gt;&lt;UID&gt;{5F8B541E-AE04-45E2-A9F3-AEB757B69F3D}&lt;/UID&gt;&lt;Title&gt;Transcriptional analysis of left-sided colitis, pancolitis, and ulcerative colitis-associated dysplasia&lt;/Title&gt;&lt;Template&gt;Journal Article&lt;/Template&gt;&lt;Star&gt;0&lt;/Star&gt;&lt;Tag&gt;0&lt;/Tag&gt;&lt;Author&gt;Bjerrum, J T; Nielsen, O H; Riis, L B; Pittet, V; Mueller, C; Rogler, G; Olsen, J&lt;/Author&gt;&lt;Year&gt;2014&lt;/Year&gt;&lt;Details&gt;&lt;_accession_num&gt;25358065&lt;/_accession_num&gt;&lt;_author_adr&gt;*Department of Cellular and Molecular Medicine, the Panum Institute, University of Copenhagen, Copenhagen, Denmark; daggerDepartment of Gastroenterology, Medical Section, Herlev Hospital, University of Copenhagen, Copenhagen, Denmark; double daggerDepartment of Pathology, Herlev Hospital, University of Copenhagen, Copenhagen, Denmark; section signHealth Care Evaluation Unit, Institute of Social and Preventive Medicine, Centre Hospitalier Universitaire Vaudois and University  of Lausanne, Lausanne, Switzerland; ||Division of Experimental Pathology, Institute of Pathology, Division of Immunopathology, University of Bern, Bern, Switzerland; and paragraph signDivision of Gastroenterology and Hepatology, University Hospital Zurich, Zurich, Switzerland.&lt;/_author_adr&gt;&lt;_date_display&gt;2014 Dec&lt;/_date_display&gt;&lt;_date&gt;2014-12-01&lt;/_date&gt;&lt;_doi&gt;10.1097/MIB.0000000000000235&lt;/_doi&gt;&lt;_isbn&gt;1536-4844 (Electronic); 1078-0998 (Linking)&lt;/_isbn&gt;&lt;_issue&gt;12&lt;/_issue&gt;&lt;_journal&gt;Inflamm Bowel Dis&lt;/_journal&gt;&lt;_language&gt;eng&lt;/_language&gt;&lt;_pages&gt;2340-52&lt;/_pages&gt;&lt;_subject_headings&gt;Adult; Biomarkers/*metabolism; Case-Control Studies; Cohort Studies; Colitis/*etiology/metabolism/pathology; Colitis, Ulcerative/*complications/*genetics/metabolism; Colorectal Neoplasms/*etiology/metabolism/pathology; Female; Follow-Up Studies; *Gene Expression Profiling; Humans; Immunoenzyme Techniques; Male; Middle Aged; Oligonucleotide Array Sequence Analysis; Precancerous Conditions/*etiology/metabolism/pathology; Prognosis; RNA, Messenger/genetics; Real-Time Polymerase Chain Reaction; Reverse Transcriptase Polymerase Chain Reaction&lt;/_subject_headings&gt;&lt;_tertiary_title&gt;Inflammatory bowel diseases&lt;/_tertiary_title&gt;&lt;_type_work&gt;Comparative Study; Journal Article; Research Support, Non-U.S. Gov&amp;apos;t&lt;/_type_work&gt;&lt;_url&gt;http://www.ncbi.nlm.nih.gov/entrez/query.fcgi?cmd=Retrieve&amp;amp;db=pubmed&amp;amp;dopt=Abstract&amp;amp;list_uids=25358065&amp;amp;query_hl=1&lt;/_url&gt;&lt;_volume&gt;20&lt;/_volume&gt;&lt;_created&gt;64284001&lt;/_created&gt;&lt;_modified&gt;64284001&lt;/_modified&gt;&lt;_db_updated&gt;PubMed&lt;/_db_updated&gt;&lt;_impact_factor&gt;   5.325&lt;/_impact_factor&gt;&lt;_collection_scope&gt;SCI;SCIE&lt;/_collection_scope&gt;&lt;/Details&gt;&lt;Extra&gt;&lt;DBUID&gt;{80FCD0DE-45A7-4B42-9F5C-3A940A7F46F3}&lt;/DBUID&gt;&lt;/Extra&gt;&lt;/Item&gt;&lt;/References&gt;&lt;/Group&gt;&lt;/Citation&gt;_x000a_"/>
    <w:docVar w:name="NE.Ref{F17D3726-C36E-4D9B-8EE0-02A29AD208BB}" w:val=" ADDIN NE.Ref.{F17D3726-C36E-4D9B-8EE0-02A29AD208BB}&lt;Citation&gt;&lt;Group&gt;&lt;References&gt;&lt;Item&gt;&lt;ID&gt;845&lt;/ID&gt;&lt;UID&gt;{030BC433-A8C2-4DDF-921F-11F6A3A6F88C}&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reated&gt;65008582&lt;/_created&gt;&lt;_date&gt;2021-05-01&lt;/_date&gt;&lt;_date_display&gt;2021 May&lt;/_date_display&gt;&lt;_db_updated&gt;PubMed&lt;/_db_updated&gt;&lt;_doi&gt;10.3322/caac.21660&lt;/_doi&gt;&lt;_impact_factor&gt; 508.702&lt;/_impact_factor&gt;&lt;_isbn&gt;1542-4863 (Electronic); 0007-9235 (Linking)&lt;/_isbn&gt;&lt;_issue&gt;3&lt;/_issue&gt;&lt;_journal&gt;CA Cancer J Clin&lt;/_journal&gt;&lt;_keywords&gt;burden; cancer; epidemiology; incidence; mortality&lt;/_keywords&gt;&lt;_language&gt;eng&lt;/_language&gt;&lt;_modified&gt;65008587&lt;/_modified&gt;&lt;_ori_publication&gt;(c)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Details&gt;&lt;Extra&gt;&lt;DBUID&gt;{80FCD0DE-45A7-4B42-9F5C-3A940A7F46F3}&lt;/DBUID&gt;&lt;/Extra&gt;&lt;/Item&gt;&lt;/References&gt;&lt;/Group&gt;&lt;/Citation&gt;_x000a_"/>
    <w:docVar w:name="NE.Ref{F1C1A727-0BB4-4A20-B51C-C3964E9CD14D}" w:val=" ADDIN NE.Ref.{F1C1A727-0BB4-4A20-B51C-C3964E9CD14D}&lt;Citation&gt;&lt;Group&gt;&lt;References&gt;&lt;Item&gt;&lt;ID&gt;191&lt;/ID&gt;&lt;UID&gt;{ADA06EE6-2A1B-442A-B65C-4B2444315ECE}&lt;/UID&gt;&lt;Title&gt;Riboflavin Supplementation in Patients with Crohn&amp;apos;s Disease [the RISE-UP study]&lt;/Title&gt;&lt;Template&gt;Journal Article&lt;/Template&gt;&lt;Star&gt;0&lt;/Star&gt;&lt;Tag&gt;0&lt;/Tag&gt;&lt;Author&gt;von Martels, JZH; Bourgonje, A R; Klaassen, MAY; Alkhalifah, HAA; Sadaghian, Sadabad M; Vich, Vila A; Gacesa, R; Gabriels, R Y; Steinert, R E; Jansen, B H; Bulthuis, MLC; van Dullemen, H M; Visschedijk, M C; Festen, EAM; Weersma, R K; de Vos, P; van Goor, H; Faber, K N; Harmsen, HJM; Dijkstra, G&lt;/Author&gt;&lt;Year&gt;2020&lt;/Year&gt;&lt;Details&gt;&lt;_accession_num&gt;31873717&lt;/_accession_num&gt;&lt;_author_adr&gt;Department of Gastroenterology and Hepatology, University of Groningen, University Medical Center Groningen, Groningen, The Netherlands.; Department of Gastroenterology and Hepatology, University of Groningen, University Medical Center Groningen, Groningen, The Netherlands.; Department of Gastroenterology and Hepatology, University of Groningen, University Medical Center Groningen, Groningen, The Netherlands.; Department of Genetics, University of Groningen, University Medical Center Groningen, Groningen, The Netherlands.; Department of Medical Microbiology, University of Groningen, University Medical Center Groningen, Groningen, The Netherlands.; Department of Medical Microbiology, University of Groningen, University Medical Center Groningen, Groningen, The Netherlands.; Department of Gastroenterology and Hepatology, University of Groningen, University Medical Center Groningen, Groningen, The Netherlands.; Department of Genetics, University of Groningen, University Medical Center Groningen, Groningen, The Netherlands.; Department of Gastroenterology and Hepatology, University of Groningen, University Medical Center Groningen, Groningen, The Netherlands.; Department of Genetics, University of Groningen, University Medical Center Groningen, Groningen, The Netherlands.; Department of Gastroenterology and Hepatology, University of Groningen, University Medical Center Groningen, Groningen, The Netherlands.; R&amp;amp;D Human Nutrition and Health, DSM Nutritional Products Ltd, Basel, Switzerland.; Department of Gastroenterology and Hepatology, University of Groningen, University Medical Center Groningen, Groningen, The Netherlands.; Department of Pathology and Medical Biology, University of Groningen, University  Medical Center Groningen, Groningen, The Netherlands.; Department of Gastroenterology and Hepatology, University of Groningen, University Medical Center Groningen, Groningen, The Netherlands.; Department of Gastroenterology and Hepatology, University of Groningen, University Medical Center Groningen, Groningen, The Netherlands.; Department of Gastroenterology and Hepatology, University of Groningen, University Medical Center Groningen, Groningen, The Netherlands.; Department of Genetics, University of Groningen, University Medical Center Groningen, Groningen, The Netherlands.; Department of Gastroenterology and Hepatology, University of Groningen, University Medical Center Groningen, Groningen, The Netherlands.; Department of Genetics, University of Groningen, University Medical Center Groningen, Groningen, The Netherlands.; Department of Pathology and Medical Biology, University of Groningen, University  Medical Center Groningen, Groningen, The Netherlands.; Department of Pathology and Medical Biology, University of Groningen, University  Medical Center Groningen, Groningen, The Netherlands.; Department of Gastroenterology and Hepatology, University of Groningen, University Medical Center Groningen, Groningen, The Netherlands.; Department of Medical Microbiology, University of Groningen, University Medical Center Groningen, Groningen, The Netherlands.; Department of Gastroenterology and Hepatology, University of Groningen, University Medical Center Groningen, Groningen, The Netherlands.&lt;/_author_adr&gt;&lt;_date_display&gt;2020 Jun 19&lt;/_date_display&gt;&lt;_date&gt;2020-06-19&lt;/_date&gt;&lt;_doi&gt;10.1093/ecco-jcc/jjz208&lt;/_doi&gt;&lt;_isbn&gt;1876-4479 (Electronic); 1873-9946 (Linking)&lt;/_isbn&gt;&lt;_issue&gt;5&lt;/_issue&gt;&lt;_journal&gt;J Crohns Colitis&lt;/_journal&gt;&lt;_keywords&gt;Crohn&amp;apos;s disease; clinical intervention study; riboflavin [vitamin B2]&lt;/_keywords&gt;&lt;_language&gt;eng&lt;/_language&gt;&lt;_ori_publication&gt;(c) European Crohn&amp;apos;s and Colitis Organisation (ECCO) 2019.&lt;/_ori_publication&gt;&lt;_pages&gt;595-607&lt;/_pages&gt;&lt;_subject_headings&gt;Adult; Biomarkers/blood; Blood Sedimentation; C-Reactive Protein/metabolism; Crohn Disease/blood/*drug therapy; Dietary Supplements; Enterobacteriaceae/isolation &amp;amp; purification; Fatty Acids, Volatile/analysis; Feces/chemistry/microbiology; Female; Gastrointestinal Microbiome/*drug effects; Humans; Interleukin-2/blood; Leukocyte L1 Antigen Complex/analysis; Male; Middle Aged; Oxidative Stress/*drug effects; Platelet Count; Prospective Studies; Quality of Life; Riboflavin/pharmacology/*therapeutic use; Severity of Illness Index; Sulfhydryl Compounds/blood; Vitamin B Complex/pharmacology/*therapeutic use&lt;/_subject_headings&gt;&lt;_tertiary_title&gt;Journal of Crohn&amp;apos;s &amp;amp; colitis&lt;/_tertiary_title&gt;&lt;_type_work&gt;Clinical Trial; Journal Article&lt;/_type_work&gt;&lt;_url&gt;http://www.ncbi.nlm.nih.gov/entrez/query.fcgi?cmd=Retrieve&amp;amp;db=pubmed&amp;amp;dopt=Abstract&amp;amp;list_uids=31873717&amp;amp;query_hl=1&lt;/_url&gt;&lt;_volume&gt;14&lt;/_volume&gt;&lt;_created&gt;64284075&lt;/_created&gt;&lt;_modified&gt;64284075&lt;/_modified&gt;&lt;_db_updated&gt;PubMed&lt;/_db_updated&gt;&lt;_impact_factor&gt;   9.071&lt;/_impact_factor&gt;&lt;_collection_scope&gt;SCIE&lt;/_collection_scope&gt;&lt;/Details&gt;&lt;Extra&gt;&lt;DBUID&gt;{80FCD0DE-45A7-4B42-9F5C-3A940A7F46F3}&lt;/DBUID&gt;&lt;/Extra&gt;&lt;/Item&gt;&lt;/References&gt;&lt;/Group&gt;&lt;Group&gt;&lt;References&gt;&lt;Item&gt;&lt;ID&gt;190&lt;/ID&gt;&lt;UID&gt;{B3243B2B-1781-47D7-8269-C6D6AFC8A73C}&lt;/UID&gt;&lt;Title&gt;Effect of riboflavin-producing bacteria against chemically induced colitis in mice&lt;/Title&gt;&lt;Template&gt;Journal Article&lt;/Template&gt;&lt;Star&gt;0&lt;/Star&gt;&lt;Tag&gt;0&lt;/Tag&gt;&lt;Author&gt;Levit, R; Savoy, De Giori G; de Moreno, De LeBlanc A; LeBlanc, J G&lt;/Author&gt;&lt;Year&gt;2018&lt;/Year&gt;&lt;Details&gt;&lt;_accession_num&gt;29080295&lt;/_accession_num&gt;&lt;_author_adr&gt;Centro de Referencia para Lactobacilos (CERELA-CONICET), San Miguel de Tucuman, Argentina.; Centro de Referencia para Lactobacilos (CERELA-CONICET), San Miguel de Tucuman, Argentina.; Catedra de Microbiologia Superior, Facultad de Bioquimica, Quimica y Farmacia, Universidad Nacional de Tucuman, San Miguel de Tucuman, Argentina.; Centro de Referencia para Lactobacilos (CERELA-CONICET), San Miguel de Tucuman, Argentina.; Centro de Referencia para Lactobacilos (CERELA-CONICET), San Miguel de Tucuman, Argentina.&lt;/_author_adr&gt;&lt;_date_display&gt;2018 Jan&lt;/_date_display&gt;&lt;_date&gt;2018-01-01&lt;/_date&gt;&lt;_doi&gt;10.1111/jam.13622&lt;/_doi&gt;&lt;_isbn&gt;1365-2672 (Electronic); 1364-5072 (Linking)&lt;/_isbn&gt;&lt;_issue&gt;1&lt;/_issue&gt;&lt;_journal&gt;J Appl Microbiol&lt;/_journal&gt;&lt;_keywords&gt;anti-inflammatory effect; colitis; lactic acid bacteria; probiotic; riboflavin&lt;/_keywords&gt;&lt;_language&gt;eng&lt;/_language&gt;&lt;_ori_publication&gt;(c) 2017 The Society for Applied Microbiology.&lt;/_ori_publication&gt;&lt;_pages&gt;232-240&lt;/_pages&gt;&lt;_subject_headings&gt;Animals; Colitis/chemically induced/*drug therapy/genetics/immunology; Feces/microbiology; Female; Humans; Interleukin-10/genetics/immunology; Intestines/immunology/microbiology; Lactobacillus/*metabolism; Mice; Mice, Inbred BALB C; Probiotics/*administration &amp;amp; dosage; Riboflavin/*metabolism; Streptococcus thermophilus/*metabolism; Trinitrobenzenesulfonic Acid/adverse effects&lt;/_subject_headings&gt;&lt;_tertiary_title&gt;Journal of applied microbiology&lt;/_tertiary_title&gt;&lt;_type_work&gt;Journal Article&lt;/_type_work&gt;&lt;_url&gt;http://www.ncbi.nlm.nih.gov/entrez/query.fcgi?cmd=Retrieve&amp;amp;db=pubmed&amp;amp;dopt=Abstract&amp;amp;list_uids=29080295&amp;amp;query_hl=1&lt;/_url&gt;&lt;_volume&gt;124&lt;/_volume&gt;&lt;_created&gt;64284074&lt;/_created&gt;&lt;_modified&gt;64284075&lt;/_modified&gt;&lt;_db_updated&gt;PubMed&lt;/_db_updated&gt;&lt;_impact_factor&gt;   3.772&lt;/_impact_factor&gt;&lt;_collection_scope&gt;SCI;SCIE&lt;/_collection_scope&gt;&lt;/Details&gt;&lt;Extra&gt;&lt;DBUID&gt;{80FCD0DE-45A7-4B42-9F5C-3A940A7F46F3}&lt;/DBUID&gt;&lt;/Extra&gt;&lt;/Item&gt;&lt;/References&gt;&lt;/Group&gt;&lt;/Citation&gt;_x000a_"/>
    <w:docVar w:name="NE.Ref{F2DD82ED-3550-4D75-8F19-0C7E2B926466}" w:val=" ADDIN NE.Ref.{F2DD82ED-3550-4D75-8F19-0C7E2B926466}&lt;Citation&gt;&lt;Group&gt;&lt;References&gt;&lt;Item&gt;&lt;ID&gt;852&lt;/ID&gt;&lt;UID&gt;{88DD19CD-E00D-47B1-B87E-7231C1318620}&lt;/UID&gt;&lt;Title&gt;Release of carcinoembryonic antigen from human colon cancer cells by  phosphatidylinositol-specific phospholipase C&lt;/Title&gt;&lt;Template&gt;Journal Article&lt;/Template&gt;&lt;Star&gt;0&lt;/Star&gt;&lt;Tag&gt;0&lt;/Tag&gt;&lt;Author&gt;Sack, T L; Gum, J R; Low, M G; Kim, Y S&lt;/Author&gt;&lt;Year&gt;1988&lt;/Year&gt;&lt;Details&gt;&lt;_accession_num&gt;3042807&lt;/_accession_num&gt;&lt;_author_adr&gt;Gastrointestinal Research Laboratory, Veterans Administration Medical Center, San  Francisco, California 94121.&lt;/_author_adr&gt;&lt;_collection_scope&gt;SCI;SCIE&lt;/_collection_scope&gt;&lt;_created&gt;65012739&lt;/_created&gt;&lt;_date&gt;1988-08-01&lt;/_date&gt;&lt;_date_display&gt;1988 Aug&lt;/_date_display&gt;&lt;_db_updated&gt;PubMed&lt;/_db_updated&gt;&lt;_doi&gt;10.1172/JCI113636&lt;/_doi&gt;&lt;_impact_factor&gt;  14.808&lt;/_impact_factor&gt;&lt;_isbn&gt;0021-9738 (Print); 0021-9738 (Linking)&lt;/_isbn&gt;&lt;_issue&gt;2&lt;/_issue&gt;&lt;_journal&gt;J Clin Invest&lt;/_journal&gt;&lt;_language&gt;eng&lt;/_language&gt;&lt;_modified&gt;65012745&lt;/_modified&gt;&lt;_pages&gt;586-93&lt;/_pages&gt;&lt;_subject_headings&gt;Carcinoembryonic Antigen/*analysis/metabolism; Cell Line; Cell Survival; Colonic Neoplasms/blood/immunology/*metabolism; Culture Media/analysis; Humans; Octoxynol; Peptide Hydrolases; *Phosphatidylinositols; Phospholipases; Polyethylene Glycols; Substrate Specificity; Tumor Cells, Cultured; Type C Phospholipases/*pharmacology&lt;/_subject_headings&gt;&lt;_tertiary_title&gt;The Journal of clinical investigation&lt;/_tertiary_title&gt;&lt;_type_work&gt;Comparative Study; Journal Article; Research Support, Non-U.S. Gov&amp;apos;t; Research Support, U.S. Gov&amp;apos;t, Non-P.H.S.; Research Support, U.S. Gov&amp;apos;t, P.H.S.&lt;/_type_work&gt;&lt;_url&gt;http://www.ncbi.nlm.nih.gov/entrez/query.fcgi?cmd=Retrieve&amp;amp;db=pubmed&amp;amp;dopt=Abstract&amp;amp;list_uids=3042807&amp;amp;query_hl=1&lt;/_url&gt;&lt;_volume&gt;82&lt;/_volume&gt;&lt;/Details&gt;&lt;Extra&gt;&lt;DBUID&gt;{80FCD0DE-45A7-4B42-9F5C-3A940A7F46F3}&lt;/DBUID&gt;&lt;/Extra&gt;&lt;/Item&gt;&lt;/References&gt;&lt;/Group&gt;&lt;/Citation&gt;_x000a_"/>
    <w:docVar w:name="NE.Ref{F912AA86-B976-421E-9807-C6DB8A926D9B}" w:val=" ADDIN NE.Ref.{F912AA86-B976-421E-9807-C6DB8A926D9B}&lt;Citation&gt;&lt;Group&gt;&lt;References&gt;&lt;Item&gt;&lt;ID&gt;847&lt;/ID&gt;&lt;UID&gt;{F3D63762-FFCB-40D4-A7AC-818A14CD763E}&lt;/UID&gt;&lt;Title&gt;Consensus molecular subtypes and the evolution of precision medicine in  colorectal cancer&lt;/Title&gt;&lt;Template&gt;Journal Article&lt;/Template&gt;&lt;Star&gt;0&lt;/Star&gt;&lt;Tag&gt;0&lt;/Tag&gt;&lt;Author&gt;Dienstmann, R; Vermeulen, L; Guinney, J; Kopetz, S; Tejpar, S; Tabernero, J&lt;/Author&gt;&lt;Year&gt;2017&lt;/Year&gt;&lt;Details&gt;&lt;_accession_num&gt;28050011&lt;/_accession_num&gt;&lt;_author_adr&gt;Vall d&amp;apos;Hebron Institute of Oncology (VHIO), Universitat Autonoma de Barcelona,  Barcelona 08035, Spain.; Sage Bionetworks, Fred Hutchinson Cancer Research Center, 1100 Fairview Ave N, WA  98109, Seattle, USA.; Laboratory for Experimental Oncology and Radiobiology (LEXOR), Center for  Experimental Molecular Medicine (CEMM), Academic Medical Center (AMC), University  of Amsterdam, 1012 WX Amsterdam, The Netherlands.; Sage Bionetworks, Fred Hutchinson Cancer Research Center, 1100 Fairview Ave N, WA  98109, Seattle, USA.; The University of Texas, M.D. Anderson Cancer Center, 1515 Holcombe Blvd,  Houston, Texas 77030, USA.; Digestive Oncology Unit, University Hospital Gasthuisberg, Herestraat 49, 3000  Leuven, Belgium.; Vall d&amp;apos;Hebron Institute of Oncology (VHIO), Universitat Autonoma de Barcelona,  Barcelona 08035, Spain.&lt;/_author_adr&gt;&lt;_collection_scope&gt;SCI;SCIE&lt;/_collection_scope&gt;&lt;_created&gt;65011217&lt;/_created&gt;&lt;_date&gt;2017-02-01&lt;/_date&gt;&lt;_date_display&gt;2017 Feb&lt;/_date_display&gt;&lt;_db_updated&gt;PubMed&lt;/_db_updated&gt;&lt;_doi&gt;10.1038/nrc.2016.126&lt;/_doi&gt;&lt;_impact_factor&gt;  60.716&lt;/_impact_factor&gt;&lt;_isbn&gt;1474-1768 (Electronic); 1474-175X (Linking)&lt;/_isbn&gt;&lt;_issue&gt;2&lt;/_issue&gt;&lt;_journal&gt;Nat Rev Cancer&lt;/_journal&gt;&lt;_language&gt;eng&lt;/_language&gt;&lt;_modified&gt;65011218&lt;/_modified&gt;&lt;_pages&gt;79-92&lt;/_pages&gt;&lt;_subject_headings&gt;Colorectal Neoplasms/drug therapy/etiology/*genetics/immunology; Consensus; Epigenomics; ErbB Receptors/antagonists &amp;amp; inhibitors/genetics; Genomics; Humans; Mutation; *Precision Medicine; Transcriptome&lt;/_subject_headings&gt;&lt;_tertiary_title&gt;Nature reviews. Cancer&lt;/_tertiary_title&gt;&lt;_type_work&gt;Journal Article; Review&lt;/_type_work&gt;&lt;_url&gt;http://www.ncbi.nlm.nih.gov/entrez/query.fcgi?cmd=Retrieve&amp;amp;db=pubmed&amp;amp;dopt=Abstract&amp;amp;list_uids=28050011&amp;amp;query_hl=1&lt;/_url&gt;&lt;_volume&gt;17&lt;/_volume&gt;&lt;/Details&gt;&lt;Extra&gt;&lt;DBUID&gt;{80FCD0DE-45A7-4B42-9F5C-3A940A7F46F3}&lt;/DBUID&gt;&lt;/Extra&gt;&lt;/Item&gt;&lt;/References&gt;&lt;/Group&gt;&lt;/Citation&gt;_x000a_"/>
    <w:docVar w:name="ne_docsoft" w:val="MSWord"/>
    <w:docVar w:name="ne_docversion" w:val="NoteExpress 2.0"/>
    <w:docVar w:name="ne_stylename" w:val="Colorectal Disease"/>
  </w:docVars>
  <w:rsids>
    <w:rsidRoot w:val="000F6517"/>
    <w:rsid w:val="00000DE3"/>
    <w:rsid w:val="00004CC2"/>
    <w:rsid w:val="00015F62"/>
    <w:rsid w:val="000165B1"/>
    <w:rsid w:val="00020344"/>
    <w:rsid w:val="00022293"/>
    <w:rsid w:val="00023553"/>
    <w:rsid w:val="0002377D"/>
    <w:rsid w:val="00024613"/>
    <w:rsid w:val="00030F72"/>
    <w:rsid w:val="000312B4"/>
    <w:rsid w:val="00033848"/>
    <w:rsid w:val="00046A10"/>
    <w:rsid w:val="00046DE0"/>
    <w:rsid w:val="00052D65"/>
    <w:rsid w:val="00053CA0"/>
    <w:rsid w:val="00056294"/>
    <w:rsid w:val="000624DB"/>
    <w:rsid w:val="00064F13"/>
    <w:rsid w:val="00067691"/>
    <w:rsid w:val="00070DD9"/>
    <w:rsid w:val="0008175B"/>
    <w:rsid w:val="000A1B68"/>
    <w:rsid w:val="000A3A6F"/>
    <w:rsid w:val="000A4C13"/>
    <w:rsid w:val="000A4C30"/>
    <w:rsid w:val="000A5401"/>
    <w:rsid w:val="000A65E2"/>
    <w:rsid w:val="000B14FB"/>
    <w:rsid w:val="000C1DDC"/>
    <w:rsid w:val="000D3F8B"/>
    <w:rsid w:val="000E65E8"/>
    <w:rsid w:val="000F1336"/>
    <w:rsid w:val="000F46A1"/>
    <w:rsid w:val="000F6079"/>
    <w:rsid w:val="000F6517"/>
    <w:rsid w:val="001026F5"/>
    <w:rsid w:val="00104AC1"/>
    <w:rsid w:val="00105DD5"/>
    <w:rsid w:val="00106C69"/>
    <w:rsid w:val="00106E97"/>
    <w:rsid w:val="00110814"/>
    <w:rsid w:val="001155CA"/>
    <w:rsid w:val="00120F38"/>
    <w:rsid w:val="00122C6A"/>
    <w:rsid w:val="00123D4C"/>
    <w:rsid w:val="00124411"/>
    <w:rsid w:val="001244DA"/>
    <w:rsid w:val="001247F9"/>
    <w:rsid w:val="00125774"/>
    <w:rsid w:val="00125873"/>
    <w:rsid w:val="001430AD"/>
    <w:rsid w:val="00143BA2"/>
    <w:rsid w:val="001452D7"/>
    <w:rsid w:val="001509BF"/>
    <w:rsid w:val="001522BE"/>
    <w:rsid w:val="00161B51"/>
    <w:rsid w:val="001822D8"/>
    <w:rsid w:val="0018414A"/>
    <w:rsid w:val="001B0893"/>
    <w:rsid w:val="001B4101"/>
    <w:rsid w:val="001B5236"/>
    <w:rsid w:val="001B5AB4"/>
    <w:rsid w:val="001B7267"/>
    <w:rsid w:val="001C1017"/>
    <w:rsid w:val="001C14CD"/>
    <w:rsid w:val="001C303C"/>
    <w:rsid w:val="001C719D"/>
    <w:rsid w:val="001D01A0"/>
    <w:rsid w:val="001D5A78"/>
    <w:rsid w:val="001D65B9"/>
    <w:rsid w:val="001F06D3"/>
    <w:rsid w:val="001F10D8"/>
    <w:rsid w:val="001F63DC"/>
    <w:rsid w:val="002030DC"/>
    <w:rsid w:val="0020563A"/>
    <w:rsid w:val="00210A71"/>
    <w:rsid w:val="00213A62"/>
    <w:rsid w:val="002240F8"/>
    <w:rsid w:val="00230E8A"/>
    <w:rsid w:val="00241BE6"/>
    <w:rsid w:val="00242C7A"/>
    <w:rsid w:val="00246703"/>
    <w:rsid w:val="002468C7"/>
    <w:rsid w:val="00251C10"/>
    <w:rsid w:val="002532AB"/>
    <w:rsid w:val="002539C0"/>
    <w:rsid w:val="0025480C"/>
    <w:rsid w:val="00257D47"/>
    <w:rsid w:val="00257E2E"/>
    <w:rsid w:val="002703F6"/>
    <w:rsid w:val="0027448B"/>
    <w:rsid w:val="00274632"/>
    <w:rsid w:val="0027660E"/>
    <w:rsid w:val="00281E03"/>
    <w:rsid w:val="00287442"/>
    <w:rsid w:val="00295DC1"/>
    <w:rsid w:val="00297F47"/>
    <w:rsid w:val="002A03F9"/>
    <w:rsid w:val="002A21E0"/>
    <w:rsid w:val="002A38C5"/>
    <w:rsid w:val="002B2F6F"/>
    <w:rsid w:val="002B4D68"/>
    <w:rsid w:val="002C26CB"/>
    <w:rsid w:val="002C46A0"/>
    <w:rsid w:val="002D0688"/>
    <w:rsid w:val="002D5805"/>
    <w:rsid w:val="002D5F52"/>
    <w:rsid w:val="002D6A24"/>
    <w:rsid w:val="002D6EDF"/>
    <w:rsid w:val="002E0BCD"/>
    <w:rsid w:val="002E182C"/>
    <w:rsid w:val="002E3D15"/>
    <w:rsid w:val="002E625E"/>
    <w:rsid w:val="002F167F"/>
    <w:rsid w:val="002F36C0"/>
    <w:rsid w:val="00301FF1"/>
    <w:rsid w:val="00304642"/>
    <w:rsid w:val="003074B3"/>
    <w:rsid w:val="0030790F"/>
    <w:rsid w:val="0031020B"/>
    <w:rsid w:val="003106E9"/>
    <w:rsid w:val="00316262"/>
    <w:rsid w:val="0033432E"/>
    <w:rsid w:val="00336FA5"/>
    <w:rsid w:val="0033791D"/>
    <w:rsid w:val="003579A8"/>
    <w:rsid w:val="00361F0F"/>
    <w:rsid w:val="00363E46"/>
    <w:rsid w:val="00363E97"/>
    <w:rsid w:val="00366016"/>
    <w:rsid w:val="00370DB7"/>
    <w:rsid w:val="00375B7E"/>
    <w:rsid w:val="00380DB2"/>
    <w:rsid w:val="003822DA"/>
    <w:rsid w:val="00383D85"/>
    <w:rsid w:val="00384840"/>
    <w:rsid w:val="00386481"/>
    <w:rsid w:val="0038649A"/>
    <w:rsid w:val="003911D3"/>
    <w:rsid w:val="003970A2"/>
    <w:rsid w:val="003A093F"/>
    <w:rsid w:val="003B30A4"/>
    <w:rsid w:val="003B4D59"/>
    <w:rsid w:val="003B5425"/>
    <w:rsid w:val="003C1A1F"/>
    <w:rsid w:val="003C2A40"/>
    <w:rsid w:val="003C33EA"/>
    <w:rsid w:val="003C3D27"/>
    <w:rsid w:val="003C3EE3"/>
    <w:rsid w:val="003C4290"/>
    <w:rsid w:val="003C64C7"/>
    <w:rsid w:val="003C7C59"/>
    <w:rsid w:val="003D134E"/>
    <w:rsid w:val="003D246E"/>
    <w:rsid w:val="003D294C"/>
    <w:rsid w:val="003E02AF"/>
    <w:rsid w:val="003E31C9"/>
    <w:rsid w:val="003E4F0B"/>
    <w:rsid w:val="003E59C7"/>
    <w:rsid w:val="003E6E30"/>
    <w:rsid w:val="003E7AB1"/>
    <w:rsid w:val="003F4611"/>
    <w:rsid w:val="00403321"/>
    <w:rsid w:val="004038D9"/>
    <w:rsid w:val="00404964"/>
    <w:rsid w:val="004136E0"/>
    <w:rsid w:val="004220E9"/>
    <w:rsid w:val="0042733A"/>
    <w:rsid w:val="00435CC7"/>
    <w:rsid w:val="00437A0B"/>
    <w:rsid w:val="0044120A"/>
    <w:rsid w:val="00441D20"/>
    <w:rsid w:val="004508BC"/>
    <w:rsid w:val="00451987"/>
    <w:rsid w:val="0045346C"/>
    <w:rsid w:val="0045398E"/>
    <w:rsid w:val="00455306"/>
    <w:rsid w:val="0045595F"/>
    <w:rsid w:val="004563BB"/>
    <w:rsid w:val="004669F5"/>
    <w:rsid w:val="00470D0E"/>
    <w:rsid w:val="00476497"/>
    <w:rsid w:val="00485EB3"/>
    <w:rsid w:val="00486CAE"/>
    <w:rsid w:val="004912F8"/>
    <w:rsid w:val="004922B3"/>
    <w:rsid w:val="004932D2"/>
    <w:rsid w:val="0049423A"/>
    <w:rsid w:val="00495AE5"/>
    <w:rsid w:val="004964E7"/>
    <w:rsid w:val="004A0BCC"/>
    <w:rsid w:val="004A27AE"/>
    <w:rsid w:val="004A3E57"/>
    <w:rsid w:val="004A3EEB"/>
    <w:rsid w:val="004A7B2B"/>
    <w:rsid w:val="004B0339"/>
    <w:rsid w:val="004B2979"/>
    <w:rsid w:val="004B3562"/>
    <w:rsid w:val="004B3C1F"/>
    <w:rsid w:val="004B3D28"/>
    <w:rsid w:val="004B4B48"/>
    <w:rsid w:val="004C0FA7"/>
    <w:rsid w:val="004C1584"/>
    <w:rsid w:val="004C743E"/>
    <w:rsid w:val="004D190F"/>
    <w:rsid w:val="004D3586"/>
    <w:rsid w:val="004D7E6C"/>
    <w:rsid w:val="004E13ED"/>
    <w:rsid w:val="004E4B6C"/>
    <w:rsid w:val="004E6776"/>
    <w:rsid w:val="004F201B"/>
    <w:rsid w:val="004F2E95"/>
    <w:rsid w:val="004F785C"/>
    <w:rsid w:val="004F7C13"/>
    <w:rsid w:val="00500FA0"/>
    <w:rsid w:val="0050415F"/>
    <w:rsid w:val="00506954"/>
    <w:rsid w:val="00507BDE"/>
    <w:rsid w:val="005106F5"/>
    <w:rsid w:val="0051144A"/>
    <w:rsid w:val="00513487"/>
    <w:rsid w:val="00514B89"/>
    <w:rsid w:val="0051529F"/>
    <w:rsid w:val="0051611E"/>
    <w:rsid w:val="00517D11"/>
    <w:rsid w:val="00523FA4"/>
    <w:rsid w:val="00525065"/>
    <w:rsid w:val="00526BBF"/>
    <w:rsid w:val="00527A9D"/>
    <w:rsid w:val="005350F8"/>
    <w:rsid w:val="005370F8"/>
    <w:rsid w:val="00545967"/>
    <w:rsid w:val="005471C2"/>
    <w:rsid w:val="00550A73"/>
    <w:rsid w:val="005526D8"/>
    <w:rsid w:val="0055668F"/>
    <w:rsid w:val="005666D8"/>
    <w:rsid w:val="00576B4C"/>
    <w:rsid w:val="005820D7"/>
    <w:rsid w:val="005851C1"/>
    <w:rsid w:val="0058542B"/>
    <w:rsid w:val="005900B4"/>
    <w:rsid w:val="0059137D"/>
    <w:rsid w:val="005950A3"/>
    <w:rsid w:val="005A0225"/>
    <w:rsid w:val="005A31F7"/>
    <w:rsid w:val="005A4996"/>
    <w:rsid w:val="005B1041"/>
    <w:rsid w:val="005B4D39"/>
    <w:rsid w:val="005B5A54"/>
    <w:rsid w:val="005C01E7"/>
    <w:rsid w:val="005C3BDD"/>
    <w:rsid w:val="005D1329"/>
    <w:rsid w:val="005D1D05"/>
    <w:rsid w:val="005E4667"/>
    <w:rsid w:val="005E6160"/>
    <w:rsid w:val="005E76BC"/>
    <w:rsid w:val="005F3124"/>
    <w:rsid w:val="005F5735"/>
    <w:rsid w:val="00606E89"/>
    <w:rsid w:val="006076A6"/>
    <w:rsid w:val="006129F2"/>
    <w:rsid w:val="00614EC6"/>
    <w:rsid w:val="006157CB"/>
    <w:rsid w:val="00620D1D"/>
    <w:rsid w:val="00623824"/>
    <w:rsid w:val="006261F3"/>
    <w:rsid w:val="00631E89"/>
    <w:rsid w:val="0063269E"/>
    <w:rsid w:val="00633FF0"/>
    <w:rsid w:val="00634765"/>
    <w:rsid w:val="00635115"/>
    <w:rsid w:val="00635E79"/>
    <w:rsid w:val="00637494"/>
    <w:rsid w:val="006378F4"/>
    <w:rsid w:val="00651103"/>
    <w:rsid w:val="006512F7"/>
    <w:rsid w:val="00652DB8"/>
    <w:rsid w:val="006566FA"/>
    <w:rsid w:val="00661A43"/>
    <w:rsid w:val="00662466"/>
    <w:rsid w:val="00664B17"/>
    <w:rsid w:val="00667779"/>
    <w:rsid w:val="0067257C"/>
    <w:rsid w:val="006732D0"/>
    <w:rsid w:val="00676E4D"/>
    <w:rsid w:val="00681985"/>
    <w:rsid w:val="00684109"/>
    <w:rsid w:val="00686DFB"/>
    <w:rsid w:val="006919ED"/>
    <w:rsid w:val="00691CCB"/>
    <w:rsid w:val="00692931"/>
    <w:rsid w:val="00692964"/>
    <w:rsid w:val="00694C1D"/>
    <w:rsid w:val="006954AE"/>
    <w:rsid w:val="006A25E4"/>
    <w:rsid w:val="006A6376"/>
    <w:rsid w:val="006B4CB8"/>
    <w:rsid w:val="006C6D61"/>
    <w:rsid w:val="006D68D2"/>
    <w:rsid w:val="006E25FA"/>
    <w:rsid w:val="006E3828"/>
    <w:rsid w:val="006E4FF7"/>
    <w:rsid w:val="006F00EE"/>
    <w:rsid w:val="006F0262"/>
    <w:rsid w:val="006F307D"/>
    <w:rsid w:val="006F6AC0"/>
    <w:rsid w:val="006F7DFA"/>
    <w:rsid w:val="007070E2"/>
    <w:rsid w:val="0071005C"/>
    <w:rsid w:val="007139D7"/>
    <w:rsid w:val="007149CF"/>
    <w:rsid w:val="00714C84"/>
    <w:rsid w:val="0071648C"/>
    <w:rsid w:val="0071729E"/>
    <w:rsid w:val="00722FEA"/>
    <w:rsid w:val="007237BB"/>
    <w:rsid w:val="00723CEA"/>
    <w:rsid w:val="00724461"/>
    <w:rsid w:val="00732B4E"/>
    <w:rsid w:val="00732C4A"/>
    <w:rsid w:val="00732FC4"/>
    <w:rsid w:val="00733EBD"/>
    <w:rsid w:val="00741138"/>
    <w:rsid w:val="007424CB"/>
    <w:rsid w:val="00754A02"/>
    <w:rsid w:val="007578DC"/>
    <w:rsid w:val="00760062"/>
    <w:rsid w:val="00760323"/>
    <w:rsid w:val="00760F7E"/>
    <w:rsid w:val="00763EA5"/>
    <w:rsid w:val="00764CDE"/>
    <w:rsid w:val="00767870"/>
    <w:rsid w:val="00776DEF"/>
    <w:rsid w:val="0077733F"/>
    <w:rsid w:val="00781D52"/>
    <w:rsid w:val="00783F95"/>
    <w:rsid w:val="007908F0"/>
    <w:rsid w:val="00791BEE"/>
    <w:rsid w:val="007926A1"/>
    <w:rsid w:val="0079531A"/>
    <w:rsid w:val="007A0BF1"/>
    <w:rsid w:val="007A25C4"/>
    <w:rsid w:val="007A7B91"/>
    <w:rsid w:val="007B03F3"/>
    <w:rsid w:val="007C55BD"/>
    <w:rsid w:val="007C6E2D"/>
    <w:rsid w:val="007D7F7B"/>
    <w:rsid w:val="007E1271"/>
    <w:rsid w:val="007F102B"/>
    <w:rsid w:val="00801E53"/>
    <w:rsid w:val="00805E80"/>
    <w:rsid w:val="0080751A"/>
    <w:rsid w:val="008331A2"/>
    <w:rsid w:val="00835A3C"/>
    <w:rsid w:val="0084302F"/>
    <w:rsid w:val="00844B5E"/>
    <w:rsid w:val="00850E22"/>
    <w:rsid w:val="008534BF"/>
    <w:rsid w:val="008536F2"/>
    <w:rsid w:val="0085690D"/>
    <w:rsid w:val="0086159F"/>
    <w:rsid w:val="008624C5"/>
    <w:rsid w:val="00862EFC"/>
    <w:rsid w:val="00862F26"/>
    <w:rsid w:val="00866249"/>
    <w:rsid w:val="008675FF"/>
    <w:rsid w:val="008734C6"/>
    <w:rsid w:val="00875AFB"/>
    <w:rsid w:val="00877892"/>
    <w:rsid w:val="00877B9A"/>
    <w:rsid w:val="00884BFC"/>
    <w:rsid w:val="008853F5"/>
    <w:rsid w:val="00887ACC"/>
    <w:rsid w:val="00892CC3"/>
    <w:rsid w:val="00897187"/>
    <w:rsid w:val="008A0169"/>
    <w:rsid w:val="008A3508"/>
    <w:rsid w:val="008A5849"/>
    <w:rsid w:val="008A6EEE"/>
    <w:rsid w:val="008B0E86"/>
    <w:rsid w:val="008B7C56"/>
    <w:rsid w:val="008C042E"/>
    <w:rsid w:val="008C4989"/>
    <w:rsid w:val="008C6CAC"/>
    <w:rsid w:val="008C6DC2"/>
    <w:rsid w:val="008C6FA6"/>
    <w:rsid w:val="008C7BEE"/>
    <w:rsid w:val="008D4E25"/>
    <w:rsid w:val="008D73CF"/>
    <w:rsid w:val="008E19B8"/>
    <w:rsid w:val="008E2BD2"/>
    <w:rsid w:val="008E4546"/>
    <w:rsid w:val="008F7C5A"/>
    <w:rsid w:val="0090214C"/>
    <w:rsid w:val="00902DDD"/>
    <w:rsid w:val="00907FCF"/>
    <w:rsid w:val="0091158B"/>
    <w:rsid w:val="00923558"/>
    <w:rsid w:val="00930562"/>
    <w:rsid w:val="009308B2"/>
    <w:rsid w:val="0093137F"/>
    <w:rsid w:val="0093332A"/>
    <w:rsid w:val="009364B5"/>
    <w:rsid w:val="00936585"/>
    <w:rsid w:val="009375A6"/>
    <w:rsid w:val="00937F24"/>
    <w:rsid w:val="00943EC8"/>
    <w:rsid w:val="00944C59"/>
    <w:rsid w:val="00953AF9"/>
    <w:rsid w:val="00956165"/>
    <w:rsid w:val="0096313D"/>
    <w:rsid w:val="009717EF"/>
    <w:rsid w:val="0097567D"/>
    <w:rsid w:val="00975909"/>
    <w:rsid w:val="009835B8"/>
    <w:rsid w:val="00985361"/>
    <w:rsid w:val="00986B2B"/>
    <w:rsid w:val="009908A8"/>
    <w:rsid w:val="009920B3"/>
    <w:rsid w:val="009A212D"/>
    <w:rsid w:val="009A267A"/>
    <w:rsid w:val="009A67E3"/>
    <w:rsid w:val="009A6B4E"/>
    <w:rsid w:val="009B0177"/>
    <w:rsid w:val="009B148E"/>
    <w:rsid w:val="009C1ACB"/>
    <w:rsid w:val="009C2C90"/>
    <w:rsid w:val="009C3BA4"/>
    <w:rsid w:val="009D4172"/>
    <w:rsid w:val="009D5AA8"/>
    <w:rsid w:val="009D7C22"/>
    <w:rsid w:val="009E301F"/>
    <w:rsid w:val="009E4DA4"/>
    <w:rsid w:val="009F03D5"/>
    <w:rsid w:val="009F15D2"/>
    <w:rsid w:val="009F56F0"/>
    <w:rsid w:val="00A0141D"/>
    <w:rsid w:val="00A01AF2"/>
    <w:rsid w:val="00A0218A"/>
    <w:rsid w:val="00A027C8"/>
    <w:rsid w:val="00A03244"/>
    <w:rsid w:val="00A03C76"/>
    <w:rsid w:val="00A049CB"/>
    <w:rsid w:val="00A15BC1"/>
    <w:rsid w:val="00A22F0C"/>
    <w:rsid w:val="00A23B8C"/>
    <w:rsid w:val="00A256A2"/>
    <w:rsid w:val="00A25C13"/>
    <w:rsid w:val="00A2632F"/>
    <w:rsid w:val="00A27CB7"/>
    <w:rsid w:val="00A3403B"/>
    <w:rsid w:val="00A36807"/>
    <w:rsid w:val="00A37D5D"/>
    <w:rsid w:val="00A40A69"/>
    <w:rsid w:val="00A41456"/>
    <w:rsid w:val="00A479EA"/>
    <w:rsid w:val="00A519AC"/>
    <w:rsid w:val="00A535EB"/>
    <w:rsid w:val="00A61F72"/>
    <w:rsid w:val="00A66BEB"/>
    <w:rsid w:val="00A9193D"/>
    <w:rsid w:val="00AA0BE6"/>
    <w:rsid w:val="00AA1AB1"/>
    <w:rsid w:val="00AB39B4"/>
    <w:rsid w:val="00AB5138"/>
    <w:rsid w:val="00AC0339"/>
    <w:rsid w:val="00AC2C10"/>
    <w:rsid w:val="00AC2D6E"/>
    <w:rsid w:val="00AD1CD6"/>
    <w:rsid w:val="00AD2379"/>
    <w:rsid w:val="00AD2949"/>
    <w:rsid w:val="00AD3B8D"/>
    <w:rsid w:val="00AD3C7D"/>
    <w:rsid w:val="00AE50AC"/>
    <w:rsid w:val="00AE5BD6"/>
    <w:rsid w:val="00AE6D6B"/>
    <w:rsid w:val="00AF1FE4"/>
    <w:rsid w:val="00AF758D"/>
    <w:rsid w:val="00AF7EC3"/>
    <w:rsid w:val="00B03961"/>
    <w:rsid w:val="00B053F1"/>
    <w:rsid w:val="00B078D7"/>
    <w:rsid w:val="00B07C2B"/>
    <w:rsid w:val="00B11A0A"/>
    <w:rsid w:val="00B1385A"/>
    <w:rsid w:val="00B17F29"/>
    <w:rsid w:val="00B17F8B"/>
    <w:rsid w:val="00B21E75"/>
    <w:rsid w:val="00B25C1B"/>
    <w:rsid w:val="00B25D2C"/>
    <w:rsid w:val="00B3080E"/>
    <w:rsid w:val="00B31A50"/>
    <w:rsid w:val="00B36953"/>
    <w:rsid w:val="00B37A0E"/>
    <w:rsid w:val="00B414EC"/>
    <w:rsid w:val="00B41841"/>
    <w:rsid w:val="00B426D3"/>
    <w:rsid w:val="00B43553"/>
    <w:rsid w:val="00B451BD"/>
    <w:rsid w:val="00B4741B"/>
    <w:rsid w:val="00B50B07"/>
    <w:rsid w:val="00B5186B"/>
    <w:rsid w:val="00B520E6"/>
    <w:rsid w:val="00B52988"/>
    <w:rsid w:val="00B533E6"/>
    <w:rsid w:val="00B55228"/>
    <w:rsid w:val="00B5553B"/>
    <w:rsid w:val="00B55665"/>
    <w:rsid w:val="00B61B93"/>
    <w:rsid w:val="00B630EC"/>
    <w:rsid w:val="00B6498D"/>
    <w:rsid w:val="00B65EE6"/>
    <w:rsid w:val="00B70310"/>
    <w:rsid w:val="00B75C9C"/>
    <w:rsid w:val="00B771BD"/>
    <w:rsid w:val="00B77ECF"/>
    <w:rsid w:val="00B77FD0"/>
    <w:rsid w:val="00B84CB3"/>
    <w:rsid w:val="00B84E8B"/>
    <w:rsid w:val="00B90120"/>
    <w:rsid w:val="00B904C8"/>
    <w:rsid w:val="00B94842"/>
    <w:rsid w:val="00BA2CA2"/>
    <w:rsid w:val="00BA3AFC"/>
    <w:rsid w:val="00BA5186"/>
    <w:rsid w:val="00BA6102"/>
    <w:rsid w:val="00BA7E9A"/>
    <w:rsid w:val="00BB223D"/>
    <w:rsid w:val="00BB2359"/>
    <w:rsid w:val="00BB637C"/>
    <w:rsid w:val="00BC0133"/>
    <w:rsid w:val="00BC6A71"/>
    <w:rsid w:val="00BC7165"/>
    <w:rsid w:val="00BD17F9"/>
    <w:rsid w:val="00BD2016"/>
    <w:rsid w:val="00BD51E8"/>
    <w:rsid w:val="00BD7700"/>
    <w:rsid w:val="00BE0191"/>
    <w:rsid w:val="00BE48BD"/>
    <w:rsid w:val="00BE54E3"/>
    <w:rsid w:val="00BF4827"/>
    <w:rsid w:val="00BF68E1"/>
    <w:rsid w:val="00C0141F"/>
    <w:rsid w:val="00C0147C"/>
    <w:rsid w:val="00C0584A"/>
    <w:rsid w:val="00C06E4B"/>
    <w:rsid w:val="00C11034"/>
    <w:rsid w:val="00C11400"/>
    <w:rsid w:val="00C13AE6"/>
    <w:rsid w:val="00C14FE7"/>
    <w:rsid w:val="00C17EEC"/>
    <w:rsid w:val="00C252C9"/>
    <w:rsid w:val="00C30FAC"/>
    <w:rsid w:val="00C3300B"/>
    <w:rsid w:val="00C37BFC"/>
    <w:rsid w:val="00C40541"/>
    <w:rsid w:val="00C464A3"/>
    <w:rsid w:val="00C511E4"/>
    <w:rsid w:val="00C5225D"/>
    <w:rsid w:val="00C52800"/>
    <w:rsid w:val="00C6125A"/>
    <w:rsid w:val="00C62C8F"/>
    <w:rsid w:val="00C64DCB"/>
    <w:rsid w:val="00C71EFF"/>
    <w:rsid w:val="00C729FE"/>
    <w:rsid w:val="00C7579C"/>
    <w:rsid w:val="00C81AEE"/>
    <w:rsid w:val="00C82863"/>
    <w:rsid w:val="00C87ED3"/>
    <w:rsid w:val="00C9017F"/>
    <w:rsid w:val="00C9589A"/>
    <w:rsid w:val="00CA6644"/>
    <w:rsid w:val="00CA77C9"/>
    <w:rsid w:val="00CB1352"/>
    <w:rsid w:val="00CB1B82"/>
    <w:rsid w:val="00CB2946"/>
    <w:rsid w:val="00CB5DEE"/>
    <w:rsid w:val="00CC2ED8"/>
    <w:rsid w:val="00CC3D14"/>
    <w:rsid w:val="00CC5B7A"/>
    <w:rsid w:val="00CC793F"/>
    <w:rsid w:val="00CD558C"/>
    <w:rsid w:val="00CD5A58"/>
    <w:rsid w:val="00CD5A7E"/>
    <w:rsid w:val="00CE49CB"/>
    <w:rsid w:val="00CF147C"/>
    <w:rsid w:val="00CF5ACA"/>
    <w:rsid w:val="00CF5DC1"/>
    <w:rsid w:val="00D03327"/>
    <w:rsid w:val="00D04D3F"/>
    <w:rsid w:val="00D05A91"/>
    <w:rsid w:val="00D13838"/>
    <w:rsid w:val="00D1395A"/>
    <w:rsid w:val="00D172D3"/>
    <w:rsid w:val="00D2631C"/>
    <w:rsid w:val="00D31E12"/>
    <w:rsid w:val="00D325AF"/>
    <w:rsid w:val="00D34DE4"/>
    <w:rsid w:val="00D3644A"/>
    <w:rsid w:val="00D4147E"/>
    <w:rsid w:val="00D419A9"/>
    <w:rsid w:val="00D51EE2"/>
    <w:rsid w:val="00D52091"/>
    <w:rsid w:val="00D53E39"/>
    <w:rsid w:val="00D5455B"/>
    <w:rsid w:val="00D60196"/>
    <w:rsid w:val="00D61510"/>
    <w:rsid w:val="00D61E35"/>
    <w:rsid w:val="00D62083"/>
    <w:rsid w:val="00D63A0F"/>
    <w:rsid w:val="00D6413F"/>
    <w:rsid w:val="00D666AC"/>
    <w:rsid w:val="00D76C1C"/>
    <w:rsid w:val="00D802E1"/>
    <w:rsid w:val="00D82595"/>
    <w:rsid w:val="00D954BB"/>
    <w:rsid w:val="00D96297"/>
    <w:rsid w:val="00DB6C24"/>
    <w:rsid w:val="00DC646C"/>
    <w:rsid w:val="00DD5AB9"/>
    <w:rsid w:val="00DD7524"/>
    <w:rsid w:val="00DE33FB"/>
    <w:rsid w:val="00DE3A94"/>
    <w:rsid w:val="00DE507C"/>
    <w:rsid w:val="00DF3F8A"/>
    <w:rsid w:val="00DF6663"/>
    <w:rsid w:val="00DF7118"/>
    <w:rsid w:val="00DF7537"/>
    <w:rsid w:val="00E059BB"/>
    <w:rsid w:val="00E0623D"/>
    <w:rsid w:val="00E134E7"/>
    <w:rsid w:val="00E17AD2"/>
    <w:rsid w:val="00E17BFF"/>
    <w:rsid w:val="00E221E5"/>
    <w:rsid w:val="00E22AB1"/>
    <w:rsid w:val="00E23B24"/>
    <w:rsid w:val="00E25232"/>
    <w:rsid w:val="00E25B07"/>
    <w:rsid w:val="00E26FFF"/>
    <w:rsid w:val="00E3374C"/>
    <w:rsid w:val="00E34BA2"/>
    <w:rsid w:val="00E40816"/>
    <w:rsid w:val="00E40AD4"/>
    <w:rsid w:val="00E40B73"/>
    <w:rsid w:val="00E424A7"/>
    <w:rsid w:val="00E43F26"/>
    <w:rsid w:val="00E4550D"/>
    <w:rsid w:val="00E45607"/>
    <w:rsid w:val="00E45CFC"/>
    <w:rsid w:val="00E47EFF"/>
    <w:rsid w:val="00E50682"/>
    <w:rsid w:val="00E56CA8"/>
    <w:rsid w:val="00E61785"/>
    <w:rsid w:val="00E70C2F"/>
    <w:rsid w:val="00E73645"/>
    <w:rsid w:val="00E817C3"/>
    <w:rsid w:val="00E83E88"/>
    <w:rsid w:val="00E92FB7"/>
    <w:rsid w:val="00EA1EE6"/>
    <w:rsid w:val="00EA3887"/>
    <w:rsid w:val="00EA57E6"/>
    <w:rsid w:val="00EB2856"/>
    <w:rsid w:val="00EB2A00"/>
    <w:rsid w:val="00EB2A47"/>
    <w:rsid w:val="00EB579D"/>
    <w:rsid w:val="00EB7AA5"/>
    <w:rsid w:val="00EC1E03"/>
    <w:rsid w:val="00EC51E6"/>
    <w:rsid w:val="00EC6413"/>
    <w:rsid w:val="00ED0C5B"/>
    <w:rsid w:val="00EE06F2"/>
    <w:rsid w:val="00EE360C"/>
    <w:rsid w:val="00EE5326"/>
    <w:rsid w:val="00EE6F71"/>
    <w:rsid w:val="00EF09B6"/>
    <w:rsid w:val="00EF25EA"/>
    <w:rsid w:val="00EF7558"/>
    <w:rsid w:val="00F017BF"/>
    <w:rsid w:val="00F01FC5"/>
    <w:rsid w:val="00F023C4"/>
    <w:rsid w:val="00F03A6C"/>
    <w:rsid w:val="00F058CD"/>
    <w:rsid w:val="00F1565C"/>
    <w:rsid w:val="00F2180E"/>
    <w:rsid w:val="00F21C4B"/>
    <w:rsid w:val="00F27B08"/>
    <w:rsid w:val="00F355C2"/>
    <w:rsid w:val="00F41499"/>
    <w:rsid w:val="00F43B64"/>
    <w:rsid w:val="00F46D09"/>
    <w:rsid w:val="00F51BF3"/>
    <w:rsid w:val="00F561D8"/>
    <w:rsid w:val="00F56952"/>
    <w:rsid w:val="00F627C8"/>
    <w:rsid w:val="00F646FE"/>
    <w:rsid w:val="00F65AD8"/>
    <w:rsid w:val="00F833DA"/>
    <w:rsid w:val="00F8409C"/>
    <w:rsid w:val="00F8583B"/>
    <w:rsid w:val="00F909F8"/>
    <w:rsid w:val="00F92ACD"/>
    <w:rsid w:val="00FA2224"/>
    <w:rsid w:val="00FA3648"/>
    <w:rsid w:val="00FA4D55"/>
    <w:rsid w:val="00FB2A73"/>
    <w:rsid w:val="00FB4D2E"/>
    <w:rsid w:val="00FD3F57"/>
    <w:rsid w:val="00FD435E"/>
    <w:rsid w:val="00FD709A"/>
    <w:rsid w:val="00FE143A"/>
    <w:rsid w:val="00FE5A50"/>
    <w:rsid w:val="00FE6300"/>
    <w:rsid w:val="00FF149E"/>
    <w:rsid w:val="00FF20A9"/>
    <w:rsid w:val="00FF367C"/>
    <w:rsid w:val="00FF5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3DD3D"/>
  <w15:chartTrackingRefBased/>
  <w15:docId w15:val="{04AD2738-28EA-394F-B6C2-0ED9A102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0310"/>
    <w:pPr>
      <w:widowControl w:val="0"/>
      <w:spacing w:line="300" w:lineRule="auto"/>
      <w:jc w:val="both"/>
    </w:pPr>
    <w:rPr>
      <w:rFonts w:ascii="Times New Roman" w:eastAsia="SimSun" w:hAnsi="Times New Roman"/>
      <w:sz w:val="24"/>
    </w:rPr>
  </w:style>
  <w:style w:type="paragraph" w:styleId="Nadpis1">
    <w:name w:val="heading 1"/>
    <w:basedOn w:val="Nadpis2"/>
    <w:next w:val="Nadpis2"/>
    <w:link w:val="Nadpis1Char"/>
    <w:uiPriority w:val="9"/>
    <w:qFormat/>
    <w:rsid w:val="00BC0133"/>
    <w:pPr>
      <w:keepNext w:val="0"/>
      <w:keepLines w:val="0"/>
      <w:spacing w:line="360" w:lineRule="auto"/>
      <w:jc w:val="center"/>
      <w:outlineLvl w:val="0"/>
    </w:pPr>
    <w:rPr>
      <w:rFonts w:eastAsia="Times New Roman"/>
      <w:bCs w:val="0"/>
      <w:color w:val="auto"/>
      <w:kern w:val="44"/>
      <w:szCs w:val="44"/>
    </w:rPr>
  </w:style>
  <w:style w:type="paragraph" w:styleId="Nadpis2">
    <w:name w:val="heading 2"/>
    <w:aliases w:val="大标题"/>
    <w:basedOn w:val="Nadpis3"/>
    <w:next w:val="Nadpis3"/>
    <w:link w:val="Nadpis2Char"/>
    <w:uiPriority w:val="9"/>
    <w:unhideWhenUsed/>
    <w:qFormat/>
    <w:rsid w:val="004669F5"/>
    <w:pPr>
      <w:outlineLvl w:val="1"/>
    </w:pPr>
    <w:rPr>
      <w:bCs/>
      <w:color w:val="2E74B5" w:themeColor="accent5" w:themeShade="BF"/>
      <w:sz w:val="28"/>
    </w:rPr>
  </w:style>
  <w:style w:type="paragraph" w:styleId="Nadpis3">
    <w:name w:val="heading 3"/>
    <w:aliases w:val="小标"/>
    <w:basedOn w:val="Nadpis4"/>
    <w:next w:val="Nadpis4"/>
    <w:link w:val="Nadpis3Char"/>
    <w:uiPriority w:val="9"/>
    <w:unhideWhenUsed/>
    <w:qFormat/>
    <w:rsid w:val="004669F5"/>
    <w:pPr>
      <w:spacing w:before="0" w:after="0" w:line="300" w:lineRule="auto"/>
      <w:outlineLvl w:val="2"/>
    </w:pPr>
    <w:rPr>
      <w:rFonts w:ascii="Times New Roman" w:hAnsi="Times New Roman"/>
      <w:bCs w:val="0"/>
      <w:sz w:val="24"/>
      <w:szCs w:val="32"/>
    </w:rPr>
  </w:style>
  <w:style w:type="paragraph" w:styleId="Nadpis4">
    <w:name w:val="heading 4"/>
    <w:basedOn w:val="Normlny"/>
    <w:next w:val="Normlny"/>
    <w:link w:val="Nadpis4Char"/>
    <w:uiPriority w:val="9"/>
    <w:unhideWhenUsed/>
    <w:qFormat/>
    <w:rsid w:val="004669F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0F6517"/>
    <w:rPr>
      <w:color w:val="0563C1" w:themeColor="hyperlink"/>
      <w:u w:val="single"/>
    </w:rPr>
  </w:style>
  <w:style w:type="paragraph" w:styleId="Odsekzoznamu">
    <w:name w:val="List Paragraph"/>
    <w:basedOn w:val="Normlny"/>
    <w:uiPriority w:val="34"/>
    <w:qFormat/>
    <w:rsid w:val="000F6517"/>
    <w:pPr>
      <w:ind w:firstLineChars="200" w:firstLine="420"/>
    </w:pPr>
  </w:style>
  <w:style w:type="character" w:customStyle="1" w:styleId="Nadpis2Char">
    <w:name w:val="Nadpis 2 Char"/>
    <w:aliases w:val="大标题 Char"/>
    <w:basedOn w:val="Predvolenpsmoodseku"/>
    <w:link w:val="Nadpis2"/>
    <w:uiPriority w:val="9"/>
    <w:rsid w:val="004669F5"/>
    <w:rPr>
      <w:rFonts w:ascii="Times New Roman" w:eastAsiaTheme="majorEastAsia" w:hAnsi="Times New Roman" w:cstheme="majorBidi"/>
      <w:b/>
      <w:bCs/>
      <w:color w:val="2E74B5" w:themeColor="accent5" w:themeShade="BF"/>
      <w:sz w:val="28"/>
      <w:szCs w:val="32"/>
    </w:rPr>
  </w:style>
  <w:style w:type="character" w:customStyle="1" w:styleId="Nadpis3Char">
    <w:name w:val="Nadpis 3 Char"/>
    <w:aliases w:val="小标 Char"/>
    <w:basedOn w:val="Predvolenpsmoodseku"/>
    <w:link w:val="Nadpis3"/>
    <w:uiPriority w:val="9"/>
    <w:rsid w:val="004669F5"/>
    <w:rPr>
      <w:rFonts w:ascii="Times New Roman" w:eastAsiaTheme="majorEastAsia" w:hAnsi="Times New Roman" w:cstheme="majorBidi"/>
      <w:b/>
      <w:sz w:val="24"/>
      <w:szCs w:val="32"/>
    </w:rPr>
  </w:style>
  <w:style w:type="character" w:customStyle="1" w:styleId="Nadpis4Char">
    <w:name w:val="Nadpis 4 Char"/>
    <w:basedOn w:val="Predvolenpsmoodseku"/>
    <w:link w:val="Nadpis4"/>
    <w:uiPriority w:val="9"/>
    <w:rsid w:val="004669F5"/>
    <w:rPr>
      <w:rFonts w:asciiTheme="majorHAnsi" w:eastAsiaTheme="majorEastAsia" w:hAnsiTheme="majorHAnsi" w:cstheme="majorBidi"/>
      <w:b/>
      <w:bCs/>
      <w:sz w:val="28"/>
      <w:szCs w:val="28"/>
    </w:rPr>
  </w:style>
  <w:style w:type="paragraph" w:styleId="Textpoznmkypodiarou">
    <w:name w:val="footnote text"/>
    <w:basedOn w:val="Normlny"/>
    <w:link w:val="TextpoznmkypodiarouChar"/>
    <w:uiPriority w:val="99"/>
    <w:semiHidden/>
    <w:unhideWhenUsed/>
    <w:rsid w:val="00246703"/>
    <w:pPr>
      <w:snapToGrid w:val="0"/>
      <w:jc w:val="left"/>
    </w:pPr>
    <w:rPr>
      <w:sz w:val="18"/>
      <w:szCs w:val="18"/>
    </w:rPr>
  </w:style>
  <w:style w:type="character" w:customStyle="1" w:styleId="TextpoznmkypodiarouChar">
    <w:name w:val="Text poznámky pod čiarou Char"/>
    <w:basedOn w:val="Predvolenpsmoodseku"/>
    <w:link w:val="Textpoznmkypodiarou"/>
    <w:uiPriority w:val="99"/>
    <w:semiHidden/>
    <w:rsid w:val="00246703"/>
    <w:rPr>
      <w:rFonts w:ascii="Times New Roman" w:eastAsia="SimSun" w:hAnsi="Times New Roman"/>
      <w:sz w:val="18"/>
      <w:szCs w:val="18"/>
    </w:rPr>
  </w:style>
  <w:style w:type="character" w:styleId="Odkaznapoznmkupodiarou">
    <w:name w:val="footnote reference"/>
    <w:basedOn w:val="Predvolenpsmoodseku"/>
    <w:uiPriority w:val="99"/>
    <w:semiHidden/>
    <w:unhideWhenUsed/>
    <w:rsid w:val="00246703"/>
    <w:rPr>
      <w:vertAlign w:val="superscript"/>
    </w:rPr>
  </w:style>
  <w:style w:type="character" w:styleId="PouitHypertextovPrepojenie">
    <w:name w:val="FollowedHyperlink"/>
    <w:basedOn w:val="Predvolenpsmoodseku"/>
    <w:uiPriority w:val="99"/>
    <w:semiHidden/>
    <w:unhideWhenUsed/>
    <w:rsid w:val="00384840"/>
    <w:rPr>
      <w:color w:val="954F72" w:themeColor="followedHyperlink"/>
      <w:u w:val="single"/>
    </w:rPr>
  </w:style>
  <w:style w:type="character" w:customStyle="1" w:styleId="Nadpis1Char">
    <w:name w:val="Nadpis 1 Char"/>
    <w:basedOn w:val="Predvolenpsmoodseku"/>
    <w:link w:val="Nadpis1"/>
    <w:uiPriority w:val="9"/>
    <w:rsid w:val="00BC0133"/>
    <w:rPr>
      <w:rFonts w:ascii="Times New Roman" w:eastAsia="Times New Roman" w:hAnsi="Times New Roman" w:cstheme="majorBidi"/>
      <w:b/>
      <w:kern w:val="44"/>
      <w:sz w:val="28"/>
      <w:szCs w:val="44"/>
    </w:rPr>
  </w:style>
  <w:style w:type="character" w:styleId="sloriadka">
    <w:name w:val="line number"/>
    <w:basedOn w:val="Predvolenpsmoodseku"/>
    <w:uiPriority w:val="99"/>
    <w:semiHidden/>
    <w:unhideWhenUsed/>
    <w:rsid w:val="005900B4"/>
  </w:style>
  <w:style w:type="paragraph" w:styleId="Hlavika">
    <w:name w:val="header"/>
    <w:basedOn w:val="Normlny"/>
    <w:link w:val="HlavikaChar"/>
    <w:uiPriority w:val="99"/>
    <w:unhideWhenUsed/>
    <w:rsid w:val="005900B4"/>
    <w:pPr>
      <w:pBdr>
        <w:bottom w:val="single" w:sz="6" w:space="1" w:color="auto"/>
      </w:pBdr>
      <w:tabs>
        <w:tab w:val="center" w:pos="4153"/>
        <w:tab w:val="right" w:pos="8306"/>
      </w:tabs>
      <w:snapToGrid w:val="0"/>
      <w:spacing w:line="240" w:lineRule="auto"/>
      <w:jc w:val="center"/>
    </w:pPr>
    <w:rPr>
      <w:sz w:val="18"/>
      <w:szCs w:val="18"/>
    </w:rPr>
  </w:style>
  <w:style w:type="character" w:customStyle="1" w:styleId="HlavikaChar">
    <w:name w:val="Hlavička Char"/>
    <w:basedOn w:val="Predvolenpsmoodseku"/>
    <w:link w:val="Hlavika"/>
    <w:uiPriority w:val="99"/>
    <w:rsid w:val="005900B4"/>
    <w:rPr>
      <w:rFonts w:ascii="Times New Roman" w:eastAsia="SimSun" w:hAnsi="Times New Roman"/>
      <w:sz w:val="18"/>
      <w:szCs w:val="18"/>
    </w:rPr>
  </w:style>
  <w:style w:type="paragraph" w:styleId="Pta">
    <w:name w:val="footer"/>
    <w:basedOn w:val="Normlny"/>
    <w:link w:val="PtaChar"/>
    <w:uiPriority w:val="99"/>
    <w:unhideWhenUsed/>
    <w:rsid w:val="005900B4"/>
    <w:pPr>
      <w:tabs>
        <w:tab w:val="center" w:pos="4153"/>
        <w:tab w:val="right" w:pos="8306"/>
      </w:tabs>
      <w:snapToGrid w:val="0"/>
      <w:spacing w:line="240" w:lineRule="auto"/>
      <w:jc w:val="left"/>
    </w:pPr>
    <w:rPr>
      <w:sz w:val="18"/>
      <w:szCs w:val="18"/>
    </w:rPr>
  </w:style>
  <w:style w:type="character" w:customStyle="1" w:styleId="PtaChar">
    <w:name w:val="Päta Char"/>
    <w:basedOn w:val="Predvolenpsmoodseku"/>
    <w:link w:val="Pta"/>
    <w:uiPriority w:val="99"/>
    <w:rsid w:val="005900B4"/>
    <w:rPr>
      <w:rFonts w:ascii="Times New Roman" w:eastAsia="SimSun" w:hAnsi="Times New Roman"/>
      <w:sz w:val="18"/>
      <w:szCs w:val="18"/>
    </w:rPr>
  </w:style>
  <w:style w:type="paragraph" w:styleId="Popis">
    <w:name w:val="caption"/>
    <w:basedOn w:val="Normlny"/>
    <w:next w:val="Normlny"/>
    <w:uiPriority w:val="35"/>
    <w:unhideWhenUsed/>
    <w:qFormat/>
    <w:rsid w:val="00125774"/>
    <w:rPr>
      <w:rFonts w:asciiTheme="majorHAnsi" w:eastAsia="SimHei" w:hAnsiTheme="majorHAnsi" w:cstheme="majorBidi"/>
      <w:sz w:val="20"/>
      <w:szCs w:val="20"/>
    </w:rPr>
  </w:style>
  <w:style w:type="paragraph" w:styleId="Normlnywebov">
    <w:name w:val="Normal (Web)"/>
    <w:basedOn w:val="Normlny"/>
    <w:uiPriority w:val="99"/>
    <w:semiHidden/>
    <w:unhideWhenUsed/>
    <w:rsid w:val="008331A2"/>
    <w:pPr>
      <w:widowControl/>
      <w:spacing w:before="100" w:beforeAutospacing="1" w:after="100" w:afterAutospacing="1" w:line="240" w:lineRule="auto"/>
      <w:jc w:val="left"/>
    </w:pPr>
    <w:rPr>
      <w:rFonts w:ascii="SimSun" w:hAnsi="SimSun" w:cs="SimSun"/>
      <w:kern w:val="0"/>
    </w:rPr>
  </w:style>
  <w:style w:type="character" w:styleId="Nevyrieenzmienka">
    <w:name w:val="Unresolved Mention"/>
    <w:basedOn w:val="Predvolenpsmoodseku"/>
    <w:uiPriority w:val="99"/>
    <w:semiHidden/>
    <w:unhideWhenUsed/>
    <w:rsid w:val="00707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44456">
      <w:bodyDiv w:val="1"/>
      <w:marLeft w:val="0"/>
      <w:marRight w:val="0"/>
      <w:marTop w:val="0"/>
      <w:marBottom w:val="0"/>
      <w:divBdr>
        <w:top w:val="none" w:sz="0" w:space="0" w:color="auto"/>
        <w:left w:val="none" w:sz="0" w:space="0" w:color="auto"/>
        <w:bottom w:val="none" w:sz="0" w:space="0" w:color="auto"/>
        <w:right w:val="none" w:sz="0" w:space="0" w:color="auto"/>
      </w:divBdr>
    </w:div>
    <w:div w:id="357044457">
      <w:bodyDiv w:val="1"/>
      <w:marLeft w:val="0"/>
      <w:marRight w:val="0"/>
      <w:marTop w:val="0"/>
      <w:marBottom w:val="0"/>
      <w:divBdr>
        <w:top w:val="none" w:sz="0" w:space="0" w:color="auto"/>
        <w:left w:val="none" w:sz="0" w:space="0" w:color="auto"/>
        <w:bottom w:val="none" w:sz="0" w:space="0" w:color="auto"/>
        <w:right w:val="none" w:sz="0" w:space="0" w:color="auto"/>
      </w:divBdr>
    </w:div>
    <w:div w:id="400715681">
      <w:bodyDiv w:val="1"/>
      <w:marLeft w:val="0"/>
      <w:marRight w:val="0"/>
      <w:marTop w:val="0"/>
      <w:marBottom w:val="0"/>
      <w:divBdr>
        <w:top w:val="none" w:sz="0" w:space="0" w:color="auto"/>
        <w:left w:val="none" w:sz="0" w:space="0" w:color="auto"/>
        <w:bottom w:val="none" w:sz="0" w:space="0" w:color="auto"/>
        <w:right w:val="none" w:sz="0" w:space="0" w:color="auto"/>
      </w:divBdr>
    </w:div>
    <w:div w:id="674384280">
      <w:bodyDiv w:val="1"/>
      <w:marLeft w:val="0"/>
      <w:marRight w:val="0"/>
      <w:marTop w:val="0"/>
      <w:marBottom w:val="0"/>
      <w:divBdr>
        <w:top w:val="none" w:sz="0" w:space="0" w:color="auto"/>
        <w:left w:val="none" w:sz="0" w:space="0" w:color="auto"/>
        <w:bottom w:val="none" w:sz="0" w:space="0" w:color="auto"/>
        <w:right w:val="none" w:sz="0" w:space="0" w:color="auto"/>
      </w:divBdr>
    </w:div>
    <w:div w:id="703868524">
      <w:bodyDiv w:val="1"/>
      <w:marLeft w:val="0"/>
      <w:marRight w:val="0"/>
      <w:marTop w:val="0"/>
      <w:marBottom w:val="0"/>
      <w:divBdr>
        <w:top w:val="none" w:sz="0" w:space="0" w:color="auto"/>
        <w:left w:val="none" w:sz="0" w:space="0" w:color="auto"/>
        <w:bottom w:val="none" w:sz="0" w:space="0" w:color="auto"/>
        <w:right w:val="none" w:sz="0" w:space="0" w:color="auto"/>
      </w:divBdr>
    </w:div>
    <w:div w:id="747270323">
      <w:bodyDiv w:val="1"/>
      <w:marLeft w:val="0"/>
      <w:marRight w:val="0"/>
      <w:marTop w:val="0"/>
      <w:marBottom w:val="0"/>
      <w:divBdr>
        <w:top w:val="none" w:sz="0" w:space="0" w:color="auto"/>
        <w:left w:val="none" w:sz="0" w:space="0" w:color="auto"/>
        <w:bottom w:val="none" w:sz="0" w:space="0" w:color="auto"/>
        <w:right w:val="none" w:sz="0" w:space="0" w:color="auto"/>
      </w:divBdr>
    </w:div>
    <w:div w:id="919095306">
      <w:bodyDiv w:val="1"/>
      <w:marLeft w:val="0"/>
      <w:marRight w:val="0"/>
      <w:marTop w:val="0"/>
      <w:marBottom w:val="0"/>
      <w:divBdr>
        <w:top w:val="none" w:sz="0" w:space="0" w:color="auto"/>
        <w:left w:val="none" w:sz="0" w:space="0" w:color="auto"/>
        <w:bottom w:val="none" w:sz="0" w:space="0" w:color="auto"/>
        <w:right w:val="none" w:sz="0" w:space="0" w:color="auto"/>
      </w:divBdr>
    </w:div>
    <w:div w:id="981692590">
      <w:bodyDiv w:val="1"/>
      <w:marLeft w:val="0"/>
      <w:marRight w:val="0"/>
      <w:marTop w:val="0"/>
      <w:marBottom w:val="0"/>
      <w:divBdr>
        <w:top w:val="none" w:sz="0" w:space="0" w:color="auto"/>
        <w:left w:val="none" w:sz="0" w:space="0" w:color="auto"/>
        <w:bottom w:val="none" w:sz="0" w:space="0" w:color="auto"/>
        <w:right w:val="none" w:sz="0" w:space="0" w:color="auto"/>
      </w:divBdr>
    </w:div>
    <w:div w:id="1041125555">
      <w:bodyDiv w:val="1"/>
      <w:marLeft w:val="0"/>
      <w:marRight w:val="0"/>
      <w:marTop w:val="0"/>
      <w:marBottom w:val="0"/>
      <w:divBdr>
        <w:top w:val="none" w:sz="0" w:space="0" w:color="auto"/>
        <w:left w:val="none" w:sz="0" w:space="0" w:color="auto"/>
        <w:bottom w:val="none" w:sz="0" w:space="0" w:color="auto"/>
        <w:right w:val="none" w:sz="0" w:space="0" w:color="auto"/>
      </w:divBdr>
    </w:div>
    <w:div w:id="1053192229">
      <w:bodyDiv w:val="1"/>
      <w:marLeft w:val="0"/>
      <w:marRight w:val="0"/>
      <w:marTop w:val="0"/>
      <w:marBottom w:val="0"/>
      <w:divBdr>
        <w:top w:val="none" w:sz="0" w:space="0" w:color="auto"/>
        <w:left w:val="none" w:sz="0" w:space="0" w:color="auto"/>
        <w:bottom w:val="none" w:sz="0" w:space="0" w:color="auto"/>
        <w:right w:val="none" w:sz="0" w:space="0" w:color="auto"/>
      </w:divBdr>
    </w:div>
    <w:div w:id="1518621166">
      <w:bodyDiv w:val="1"/>
      <w:marLeft w:val="0"/>
      <w:marRight w:val="0"/>
      <w:marTop w:val="0"/>
      <w:marBottom w:val="0"/>
      <w:divBdr>
        <w:top w:val="none" w:sz="0" w:space="0" w:color="auto"/>
        <w:left w:val="none" w:sz="0" w:space="0" w:color="auto"/>
        <w:bottom w:val="none" w:sz="0" w:space="0" w:color="auto"/>
        <w:right w:val="none" w:sz="0" w:space="0" w:color="auto"/>
      </w:divBdr>
    </w:div>
    <w:div w:id="1575898385">
      <w:bodyDiv w:val="1"/>
      <w:marLeft w:val="0"/>
      <w:marRight w:val="0"/>
      <w:marTop w:val="0"/>
      <w:marBottom w:val="0"/>
      <w:divBdr>
        <w:top w:val="none" w:sz="0" w:space="0" w:color="auto"/>
        <w:left w:val="none" w:sz="0" w:space="0" w:color="auto"/>
        <w:bottom w:val="none" w:sz="0" w:space="0" w:color="auto"/>
        <w:right w:val="none" w:sz="0" w:space="0" w:color="auto"/>
      </w:divBdr>
    </w:div>
    <w:div w:id="1577015147">
      <w:bodyDiv w:val="1"/>
      <w:marLeft w:val="0"/>
      <w:marRight w:val="0"/>
      <w:marTop w:val="0"/>
      <w:marBottom w:val="0"/>
      <w:divBdr>
        <w:top w:val="none" w:sz="0" w:space="0" w:color="auto"/>
        <w:left w:val="none" w:sz="0" w:space="0" w:color="auto"/>
        <w:bottom w:val="none" w:sz="0" w:space="0" w:color="auto"/>
        <w:right w:val="none" w:sz="0" w:space="0" w:color="auto"/>
      </w:divBdr>
    </w:div>
    <w:div w:id="1684941447">
      <w:bodyDiv w:val="1"/>
      <w:marLeft w:val="0"/>
      <w:marRight w:val="0"/>
      <w:marTop w:val="0"/>
      <w:marBottom w:val="0"/>
      <w:divBdr>
        <w:top w:val="none" w:sz="0" w:space="0" w:color="auto"/>
        <w:left w:val="none" w:sz="0" w:space="0" w:color="auto"/>
        <w:bottom w:val="none" w:sz="0" w:space="0" w:color="auto"/>
        <w:right w:val="none" w:sz="0" w:space="0" w:color="auto"/>
      </w:divBdr>
    </w:div>
    <w:div w:id="1751273151">
      <w:bodyDiv w:val="1"/>
      <w:marLeft w:val="0"/>
      <w:marRight w:val="0"/>
      <w:marTop w:val="0"/>
      <w:marBottom w:val="0"/>
      <w:divBdr>
        <w:top w:val="none" w:sz="0" w:space="0" w:color="auto"/>
        <w:left w:val="none" w:sz="0" w:space="0" w:color="auto"/>
        <w:bottom w:val="none" w:sz="0" w:space="0" w:color="auto"/>
        <w:right w:val="none" w:sz="0" w:space="0" w:color="auto"/>
      </w:divBdr>
      <w:divsChild>
        <w:div w:id="1235779019">
          <w:marLeft w:val="0"/>
          <w:marRight w:val="0"/>
          <w:marTop w:val="0"/>
          <w:marBottom w:val="0"/>
          <w:divBdr>
            <w:top w:val="single" w:sz="2" w:space="0" w:color="D9D9E3"/>
            <w:left w:val="single" w:sz="2" w:space="0" w:color="D9D9E3"/>
            <w:bottom w:val="single" w:sz="2" w:space="0" w:color="D9D9E3"/>
            <w:right w:val="single" w:sz="2" w:space="0" w:color="D9D9E3"/>
          </w:divBdr>
          <w:divsChild>
            <w:div w:id="1480729794">
              <w:marLeft w:val="0"/>
              <w:marRight w:val="0"/>
              <w:marTop w:val="0"/>
              <w:marBottom w:val="0"/>
              <w:divBdr>
                <w:top w:val="single" w:sz="2" w:space="0" w:color="D9D9E3"/>
                <w:left w:val="single" w:sz="2" w:space="0" w:color="D9D9E3"/>
                <w:bottom w:val="single" w:sz="2" w:space="0" w:color="D9D9E3"/>
                <w:right w:val="single" w:sz="2" w:space="0" w:color="D9D9E3"/>
              </w:divBdr>
              <w:divsChild>
                <w:div w:id="956791839">
                  <w:marLeft w:val="0"/>
                  <w:marRight w:val="0"/>
                  <w:marTop w:val="0"/>
                  <w:marBottom w:val="0"/>
                  <w:divBdr>
                    <w:top w:val="single" w:sz="2" w:space="0" w:color="D9D9E3"/>
                    <w:left w:val="single" w:sz="2" w:space="0" w:color="D9D9E3"/>
                    <w:bottom w:val="single" w:sz="2" w:space="0" w:color="D9D9E3"/>
                    <w:right w:val="single" w:sz="2" w:space="0" w:color="D9D9E3"/>
                  </w:divBdr>
                  <w:divsChild>
                    <w:div w:id="367998611">
                      <w:marLeft w:val="0"/>
                      <w:marRight w:val="0"/>
                      <w:marTop w:val="0"/>
                      <w:marBottom w:val="0"/>
                      <w:divBdr>
                        <w:top w:val="single" w:sz="2" w:space="0" w:color="D9D9E3"/>
                        <w:left w:val="single" w:sz="2" w:space="0" w:color="D9D9E3"/>
                        <w:bottom w:val="single" w:sz="2" w:space="0" w:color="D9D9E3"/>
                        <w:right w:val="single" w:sz="2" w:space="0" w:color="D9D9E3"/>
                      </w:divBdr>
                      <w:divsChild>
                        <w:div w:id="1320697427">
                          <w:marLeft w:val="0"/>
                          <w:marRight w:val="0"/>
                          <w:marTop w:val="0"/>
                          <w:marBottom w:val="0"/>
                          <w:divBdr>
                            <w:top w:val="single" w:sz="2" w:space="0" w:color="auto"/>
                            <w:left w:val="single" w:sz="2" w:space="0" w:color="auto"/>
                            <w:bottom w:val="single" w:sz="6" w:space="0" w:color="auto"/>
                            <w:right w:val="single" w:sz="2" w:space="0" w:color="auto"/>
                          </w:divBdr>
                          <w:divsChild>
                            <w:div w:id="612178584">
                              <w:marLeft w:val="0"/>
                              <w:marRight w:val="0"/>
                              <w:marTop w:val="100"/>
                              <w:marBottom w:val="100"/>
                              <w:divBdr>
                                <w:top w:val="single" w:sz="2" w:space="0" w:color="D9D9E3"/>
                                <w:left w:val="single" w:sz="2" w:space="0" w:color="D9D9E3"/>
                                <w:bottom w:val="single" w:sz="2" w:space="0" w:color="D9D9E3"/>
                                <w:right w:val="single" w:sz="2" w:space="0" w:color="D9D9E3"/>
                              </w:divBdr>
                              <w:divsChild>
                                <w:div w:id="1679431359">
                                  <w:marLeft w:val="0"/>
                                  <w:marRight w:val="0"/>
                                  <w:marTop w:val="0"/>
                                  <w:marBottom w:val="0"/>
                                  <w:divBdr>
                                    <w:top w:val="single" w:sz="2" w:space="0" w:color="D9D9E3"/>
                                    <w:left w:val="single" w:sz="2" w:space="0" w:color="D9D9E3"/>
                                    <w:bottom w:val="single" w:sz="2" w:space="0" w:color="D9D9E3"/>
                                    <w:right w:val="single" w:sz="2" w:space="0" w:color="D9D9E3"/>
                                  </w:divBdr>
                                  <w:divsChild>
                                    <w:div w:id="1148088943">
                                      <w:marLeft w:val="0"/>
                                      <w:marRight w:val="0"/>
                                      <w:marTop w:val="0"/>
                                      <w:marBottom w:val="0"/>
                                      <w:divBdr>
                                        <w:top w:val="single" w:sz="2" w:space="0" w:color="D9D9E3"/>
                                        <w:left w:val="single" w:sz="2" w:space="0" w:color="D9D9E3"/>
                                        <w:bottom w:val="single" w:sz="2" w:space="0" w:color="D9D9E3"/>
                                        <w:right w:val="single" w:sz="2" w:space="0" w:color="D9D9E3"/>
                                      </w:divBdr>
                                      <w:divsChild>
                                        <w:div w:id="1176504432">
                                          <w:marLeft w:val="0"/>
                                          <w:marRight w:val="0"/>
                                          <w:marTop w:val="0"/>
                                          <w:marBottom w:val="0"/>
                                          <w:divBdr>
                                            <w:top w:val="single" w:sz="2" w:space="0" w:color="D9D9E3"/>
                                            <w:left w:val="single" w:sz="2" w:space="0" w:color="D9D9E3"/>
                                            <w:bottom w:val="single" w:sz="2" w:space="0" w:color="D9D9E3"/>
                                            <w:right w:val="single" w:sz="2" w:space="0" w:color="D9D9E3"/>
                                          </w:divBdr>
                                          <w:divsChild>
                                            <w:div w:id="707266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23166940">
                                      <w:marLeft w:val="0"/>
                                      <w:marRight w:val="0"/>
                                      <w:marTop w:val="0"/>
                                      <w:marBottom w:val="0"/>
                                      <w:divBdr>
                                        <w:top w:val="single" w:sz="2" w:space="0" w:color="D9D9E3"/>
                                        <w:left w:val="single" w:sz="2" w:space="0" w:color="D9D9E3"/>
                                        <w:bottom w:val="single" w:sz="2" w:space="0" w:color="D9D9E3"/>
                                        <w:right w:val="single" w:sz="2" w:space="0" w:color="D9D9E3"/>
                                      </w:divBdr>
                                      <w:divsChild>
                                        <w:div w:id="1829325609">
                                          <w:marLeft w:val="0"/>
                                          <w:marRight w:val="0"/>
                                          <w:marTop w:val="0"/>
                                          <w:marBottom w:val="0"/>
                                          <w:divBdr>
                                            <w:top w:val="single" w:sz="2" w:space="0" w:color="D9D9E3"/>
                                            <w:left w:val="single" w:sz="2" w:space="0" w:color="D9D9E3"/>
                                            <w:bottom w:val="single" w:sz="2" w:space="0" w:color="D9D9E3"/>
                                            <w:right w:val="single" w:sz="2" w:space="0" w:color="D9D9E3"/>
                                          </w:divBdr>
                                          <w:divsChild>
                                            <w:div w:id="6937283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42658222">
          <w:marLeft w:val="0"/>
          <w:marRight w:val="0"/>
          <w:marTop w:val="0"/>
          <w:marBottom w:val="0"/>
          <w:divBdr>
            <w:top w:val="none" w:sz="0" w:space="0" w:color="auto"/>
            <w:left w:val="none" w:sz="0" w:space="0" w:color="auto"/>
            <w:bottom w:val="none" w:sz="0" w:space="0" w:color="auto"/>
            <w:right w:val="none" w:sz="0" w:space="0" w:color="auto"/>
          </w:divBdr>
        </w:div>
      </w:divsChild>
    </w:div>
    <w:div w:id="177543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6C5E3-1E9E-492C-86D8-65AE117E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赤米粄之王</dc:creator>
  <cp:keywords/>
  <dc:description>NE.Ref</dc:description>
  <cp:lastModifiedBy>paulina.gronesova@savba.sk</cp:lastModifiedBy>
  <cp:revision>5</cp:revision>
  <dcterms:created xsi:type="dcterms:W3CDTF">2026-09-28T18:56:00Z</dcterms:created>
  <dcterms:modified xsi:type="dcterms:W3CDTF">2026-09-28T19:06:00Z</dcterms:modified>
</cp:coreProperties>
</file>