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AFF50" w14:textId="77777777" w:rsidR="000A6023" w:rsidRPr="000A6023" w:rsidRDefault="000A6023" w:rsidP="0060193B">
      <w:pPr>
        <w:widowControl w:val="0"/>
        <w:spacing w:after="0" w:line="36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</w:pPr>
      <w:r w:rsidRPr="000A6023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Supplementary Figure Legends</w:t>
      </w:r>
    </w:p>
    <w:p w14:paraId="1551702A" w14:textId="77777777" w:rsidR="000A6023" w:rsidRPr="000A6023" w:rsidRDefault="000A6023" w:rsidP="0060193B">
      <w:pPr>
        <w:widowControl w:val="0"/>
        <w:spacing w:after="0" w:line="360" w:lineRule="auto"/>
        <w:jc w:val="both"/>
        <w:rPr>
          <w:rFonts w:ascii="Times New Roman" w:eastAsia="DengXian" w:hAnsi="Times New Roman" w:cs="Times New Roman"/>
          <w:sz w:val="24"/>
          <w:szCs w:val="24"/>
          <w:lang w:val="en-US" w:eastAsia="zh-CN"/>
        </w:rPr>
      </w:pPr>
    </w:p>
    <w:p w14:paraId="7048B566" w14:textId="77777777" w:rsidR="000A6023" w:rsidRPr="000A6023" w:rsidRDefault="000A6023" w:rsidP="0060193B">
      <w:pPr>
        <w:widowControl w:val="0"/>
        <w:spacing w:after="0" w:line="360" w:lineRule="auto"/>
        <w:jc w:val="both"/>
        <w:rPr>
          <w:rFonts w:ascii="Times New Roman" w:eastAsia="DengXian" w:hAnsi="Times New Roman" w:cs="Times New Roman"/>
          <w:sz w:val="24"/>
          <w:szCs w:val="24"/>
          <w:lang w:val="en-US" w:eastAsia="zh-CN"/>
        </w:rPr>
      </w:pPr>
      <w:r w:rsidRPr="000A6023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 xml:space="preserve">Supplementary Figure S1. </w:t>
      </w:r>
      <w:r w:rsidRPr="000A6023">
        <w:rPr>
          <w:rFonts w:ascii="Times New Roman" w:eastAsia="SimSun" w:hAnsi="Times New Roman" w:cs="Times New Roman"/>
          <w:sz w:val="24"/>
          <w:szCs w:val="24"/>
          <w:lang w:val="en-US" w:eastAsia="zh-CN"/>
        </w:rPr>
        <w:t>The XCL2/XCR1/β-catenin/TCF4/NEK2 axis did not confer PTX effect in non-malignant mammary epithelial cells. MCF-10A cells were treated with PTX (50 nM) in the presence or absence of M2+si-NC-CM or M2+si-XCL2-CM.</w:t>
      </w:r>
      <w:r w:rsidRPr="000A6023">
        <w:rPr>
          <w:rFonts w:ascii="Times New Roman" w:eastAsia="DengXian" w:hAnsi="Times New Roman" w:cs="Times New Roman"/>
          <w:sz w:val="24"/>
          <w:szCs w:val="24"/>
          <w:lang w:val="en-US" w:eastAsia="zh-CN"/>
        </w:rPr>
        <w:t xml:space="preserve"> </w:t>
      </w:r>
      <w:r w:rsidRPr="000A6023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A) Cell viability was assessed by CCK-8 assay. B) Apoptosis was determined by flow cytometry with Annexin V-FITC/PI staining. C) Nuclear β-catenin and NEK2 protein levels were analyzed by Western blot. </w:t>
      </w:r>
      <w:r w:rsidRPr="000A6023">
        <w:rPr>
          <w:rFonts w:ascii="Times New Roman" w:eastAsia="DengXian" w:hAnsi="Times New Roman" w:cs="Times New Roman"/>
          <w:sz w:val="24"/>
          <w:szCs w:val="24"/>
          <w:lang w:val="en-US" w:eastAsia="zh-CN"/>
        </w:rPr>
        <w:t xml:space="preserve">Data were expressed as mean±SD. All our data were obtained from three independent experiments. </w:t>
      </w:r>
      <w:r w:rsidRPr="000A6023"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</w:rPr>
        <w:t>One-way ANOVA with Tukey's post hoc test for multiple group comparisons.</w:t>
      </w:r>
      <w:r w:rsidRPr="000A6023">
        <w:rPr>
          <w:rFonts w:ascii="Times New Roman" w:eastAsia="DengXian" w:hAnsi="Times New Roman" w:cs="Times New Roman"/>
          <w:sz w:val="24"/>
          <w:szCs w:val="24"/>
          <w:lang w:val="en-US" w:eastAsia="zh-CN"/>
        </w:rPr>
        <w:t xml:space="preserve"> *p &lt; 0.05</w:t>
      </w:r>
    </w:p>
    <w:p w14:paraId="30640876" w14:textId="77777777" w:rsidR="000A6023" w:rsidRPr="000A6023" w:rsidRDefault="000A6023" w:rsidP="0060193B">
      <w:pPr>
        <w:widowControl w:val="0"/>
        <w:spacing w:after="0" w:line="360" w:lineRule="auto"/>
        <w:jc w:val="both"/>
        <w:rPr>
          <w:rFonts w:ascii="Times New Roman" w:eastAsia="DengXian" w:hAnsi="Times New Roman" w:cs="Times New Roman"/>
          <w:sz w:val="24"/>
          <w:szCs w:val="24"/>
          <w:lang w:val="en-US" w:eastAsia="zh-CN"/>
        </w:rPr>
      </w:pPr>
    </w:p>
    <w:p w14:paraId="246AABA3" w14:textId="58ABE7E4" w:rsidR="00496425" w:rsidRPr="000A6023" w:rsidRDefault="000A6023" w:rsidP="0060193B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023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 xml:space="preserve">Supplementary Figure S2. </w:t>
      </w:r>
      <w:r w:rsidRPr="000A6023">
        <w:rPr>
          <w:rFonts w:ascii="Times New Roman" w:eastAsia="SimSun" w:hAnsi="Times New Roman" w:cs="Times New Roman"/>
          <w:sz w:val="24"/>
          <w:szCs w:val="24"/>
          <w:lang w:val="en-US" w:eastAsia="zh-CN"/>
        </w:rPr>
        <w:t>Negative control for immunohistochemistry staining. Isotype-matched IgG was used as the negative control for immunohistochemistry staining of tumor tissue sections. Scale bar=50 μm</w:t>
      </w:r>
    </w:p>
    <w:sectPr w:rsidR="00496425" w:rsidRPr="000A6023" w:rsidSect="000A6023">
      <w:pgSz w:w="11906" w:h="16838"/>
      <w:pgMar w:top="1134" w:right="1134" w:bottom="1134" w:left="1134" w:header="1020" w:footer="102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023"/>
    <w:rsid w:val="000A6023"/>
    <w:rsid w:val="002B57CB"/>
    <w:rsid w:val="00496425"/>
    <w:rsid w:val="0060193B"/>
    <w:rsid w:val="00605439"/>
    <w:rsid w:val="006E62CB"/>
    <w:rsid w:val="00E9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11EAE"/>
  <w15:chartTrackingRefBased/>
  <w15:docId w15:val="{FB6C3C81-CE84-4D19-A1B1-E3A172200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A6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A6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A60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A6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A60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A6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A6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A6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A6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A60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A60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A60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A602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A602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A60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A60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A60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A602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A6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A6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A6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A6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A6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A602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A602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A602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A60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A602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A60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paulina.gronesova@savba.sk</dc:creator>
  <cp:keywords/>
  <dc:description/>
  <cp:lastModifiedBy>paulina.gronesova@savba.sk</cp:lastModifiedBy>
  <cp:revision>2</cp:revision>
  <dcterms:created xsi:type="dcterms:W3CDTF">2026-10-12T14:58:00Z</dcterms:created>
  <dcterms:modified xsi:type="dcterms:W3CDTF">2026-10-12T15:00:00Z</dcterms:modified>
</cp:coreProperties>
</file>